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00" w:rsidRDefault="00591F00">
      <w:pPr>
        <w:rPr>
          <w:noProof/>
          <w:lang w:eastAsia="en-GB"/>
        </w:rPr>
      </w:pPr>
      <w:bookmarkStart w:id="0" w:name="_GoBack"/>
      <w:bookmarkEnd w:id="0"/>
      <w:r>
        <w:rPr>
          <w:noProof/>
          <w:lang w:eastAsia="en-GB"/>
        </w:rPr>
        <w:drawing>
          <wp:anchor distT="0" distB="0" distL="114300" distR="114300" simplePos="0" relativeHeight="251659264" behindDoc="0" locked="1" layoutInCell="1" allowOverlap="1" wp14:anchorId="790D12E2" wp14:editId="059A55E0">
            <wp:simplePos x="0" y="0"/>
            <wp:positionH relativeFrom="column">
              <wp:posOffset>51435</wp:posOffset>
            </wp:positionH>
            <wp:positionV relativeFrom="page">
              <wp:posOffset>885825</wp:posOffset>
            </wp:positionV>
            <wp:extent cx="5655310" cy="952500"/>
            <wp:effectExtent l="0" t="0" r="2540" b="0"/>
            <wp:wrapNone/>
            <wp:docPr id="4" name="Picture 4"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letterhead"/>
                    <pic:cNvPicPr>
                      <a:picLocks noChangeAspect="1" noChangeArrowheads="1"/>
                    </pic:cNvPicPr>
                  </pic:nvPicPr>
                  <pic:blipFill>
                    <a:blip r:embed="rId9">
                      <a:extLst>
                        <a:ext uri="{28A0092B-C50C-407E-A947-70E740481C1C}">
                          <a14:useLocalDpi xmlns:a14="http://schemas.microsoft.com/office/drawing/2010/main" val="0"/>
                        </a:ext>
                      </a:extLst>
                    </a:blip>
                    <a:srcRect l="29193"/>
                    <a:stretch>
                      <a:fillRect/>
                    </a:stretch>
                  </pic:blipFill>
                  <pic:spPr bwMode="auto">
                    <a:xfrm>
                      <a:off x="0" y="0"/>
                      <a:ext cx="565531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F00" w:rsidRDefault="00591F00"/>
    <w:p w:rsidR="00591F00" w:rsidRDefault="00591F00"/>
    <w:p w:rsidR="00591F00" w:rsidRDefault="00591F00"/>
    <w:p w:rsidR="00591F00" w:rsidRDefault="00591F00"/>
    <w:tbl>
      <w:tblPr>
        <w:tblW w:w="9007" w:type="dxa"/>
        <w:tblLayout w:type="fixed"/>
        <w:tblLook w:val="0000" w:firstRow="0" w:lastRow="0" w:firstColumn="0" w:lastColumn="0" w:noHBand="0" w:noVBand="0"/>
      </w:tblPr>
      <w:tblGrid>
        <w:gridCol w:w="3456"/>
        <w:gridCol w:w="202"/>
        <w:gridCol w:w="4852"/>
        <w:gridCol w:w="387"/>
        <w:gridCol w:w="43"/>
        <w:gridCol w:w="67"/>
      </w:tblGrid>
      <w:tr w:rsidR="00591F00" w:rsidTr="00074EF4">
        <w:trPr>
          <w:trHeight w:val="652"/>
        </w:trPr>
        <w:tc>
          <w:tcPr>
            <w:tcW w:w="3658" w:type="dxa"/>
            <w:gridSpan w:val="2"/>
            <w:tcBorders>
              <w:bottom w:val="single" w:sz="18" w:space="0" w:color="auto"/>
            </w:tcBorders>
          </w:tcPr>
          <w:p w:rsidR="00591F00" w:rsidRPr="00B805DB" w:rsidRDefault="00591F00" w:rsidP="00D45D03">
            <w:pPr>
              <w:pStyle w:val="Infotext"/>
              <w:rPr>
                <w:rFonts w:ascii="Arial Black" w:hAnsi="Arial Black" w:cs="Arial"/>
                <w:sz w:val="36"/>
                <w:szCs w:val="36"/>
              </w:rPr>
            </w:pPr>
          </w:p>
        </w:tc>
        <w:tc>
          <w:tcPr>
            <w:tcW w:w="5349" w:type="dxa"/>
            <w:gridSpan w:val="4"/>
            <w:tcBorders>
              <w:bottom w:val="single" w:sz="18" w:space="0" w:color="auto"/>
            </w:tcBorders>
          </w:tcPr>
          <w:p w:rsidR="00591F00" w:rsidRPr="005E3A10" w:rsidRDefault="00591F00" w:rsidP="00D45D03">
            <w:pPr>
              <w:rPr>
                <w:rFonts w:ascii="Arial Black" w:hAnsi="Arial Black" w:cs="Arial"/>
                <w:szCs w:val="24"/>
              </w:rPr>
            </w:pPr>
          </w:p>
        </w:tc>
      </w:tr>
      <w:tr w:rsidR="00696FC4" w:rsidTr="00074EF4">
        <w:trPr>
          <w:gridAfter w:val="1"/>
          <w:wAfter w:w="67" w:type="dxa"/>
          <w:trHeight w:val="900"/>
        </w:trPr>
        <w:tc>
          <w:tcPr>
            <w:tcW w:w="3456" w:type="dxa"/>
            <w:tcBorders>
              <w:bottom w:val="single" w:sz="18" w:space="0" w:color="auto"/>
            </w:tcBorders>
          </w:tcPr>
          <w:p w:rsidR="00696FC4" w:rsidRPr="00074EF4" w:rsidRDefault="00696FC4">
            <w:pPr>
              <w:pStyle w:val="Infotext"/>
              <w:rPr>
                <w:rFonts w:ascii="Arial Black" w:hAnsi="Arial Black"/>
                <w:color w:val="808080" w:themeColor="background1" w:themeShade="80"/>
                <w:sz w:val="36"/>
                <w:szCs w:val="36"/>
              </w:rPr>
            </w:pPr>
            <w:r w:rsidRPr="00074EF4">
              <w:rPr>
                <w:rFonts w:ascii="Arial Black" w:hAnsi="Arial Black"/>
                <w:color w:val="808080" w:themeColor="background1" w:themeShade="80"/>
                <w:sz w:val="36"/>
                <w:szCs w:val="36"/>
              </w:rPr>
              <w:t>REPORT FOR:</w:t>
            </w:r>
          </w:p>
          <w:p w:rsidR="00696FC4" w:rsidRDefault="00696FC4">
            <w:pPr>
              <w:pStyle w:val="Infotext"/>
              <w:rPr>
                <w:rFonts w:ascii="Arial Black" w:hAnsi="Arial Black" w:cs="Arial"/>
                <w:sz w:val="36"/>
                <w:szCs w:val="36"/>
              </w:rPr>
            </w:pPr>
          </w:p>
        </w:tc>
        <w:tc>
          <w:tcPr>
            <w:tcW w:w="5484" w:type="dxa"/>
            <w:gridSpan w:val="4"/>
            <w:tcBorders>
              <w:bottom w:val="single" w:sz="18" w:space="0" w:color="auto"/>
            </w:tcBorders>
          </w:tcPr>
          <w:p w:rsidR="00696FC4" w:rsidRDefault="00696FC4">
            <w:pPr>
              <w:rPr>
                <w:rFonts w:ascii="Arial Black" w:hAnsi="Arial Black" w:cs="Arial"/>
                <w:sz w:val="36"/>
                <w:szCs w:val="36"/>
              </w:rPr>
            </w:pPr>
            <w:r>
              <w:rPr>
                <w:rFonts w:ascii="Arial Black" w:hAnsi="Arial Black" w:cs="Arial"/>
                <w:sz w:val="36"/>
                <w:szCs w:val="36"/>
              </w:rPr>
              <w:t>CABINET</w:t>
            </w:r>
          </w:p>
        </w:tc>
      </w:tr>
      <w:tr w:rsidR="00696FC4" w:rsidTr="00074EF4">
        <w:trPr>
          <w:gridAfter w:val="1"/>
          <w:wAfter w:w="67" w:type="dxa"/>
        </w:trPr>
        <w:tc>
          <w:tcPr>
            <w:tcW w:w="3456" w:type="dxa"/>
            <w:tcBorders>
              <w:top w:val="single" w:sz="18" w:space="0" w:color="auto"/>
            </w:tcBorders>
          </w:tcPr>
          <w:p w:rsidR="00696FC4" w:rsidRDefault="00696FC4">
            <w:pPr>
              <w:pStyle w:val="Infotext"/>
              <w:rPr>
                <w:rFonts w:ascii="Arial Black" w:hAnsi="Arial Black"/>
              </w:rPr>
            </w:pPr>
            <w:r>
              <w:rPr>
                <w:rFonts w:ascii="Arial Black" w:hAnsi="Arial Black"/>
              </w:rPr>
              <w:t>Date</w:t>
            </w:r>
            <w:r w:rsidR="00591F00">
              <w:rPr>
                <w:rFonts w:ascii="Arial Black" w:hAnsi="Arial Black"/>
              </w:rPr>
              <w:t xml:space="preserve"> of meeting</w:t>
            </w:r>
            <w:r>
              <w:rPr>
                <w:rFonts w:ascii="Arial Black" w:hAnsi="Arial Black"/>
              </w:rPr>
              <w:t>:</w:t>
            </w:r>
          </w:p>
          <w:p w:rsidR="00696FC4" w:rsidRDefault="00696FC4">
            <w:pPr>
              <w:pStyle w:val="Infotext"/>
              <w:rPr>
                <w:rFonts w:ascii="Arial Black" w:hAnsi="Arial Black" w:cs="Arial"/>
              </w:rPr>
            </w:pPr>
          </w:p>
        </w:tc>
        <w:tc>
          <w:tcPr>
            <w:tcW w:w="5484" w:type="dxa"/>
            <w:gridSpan w:val="4"/>
            <w:tcBorders>
              <w:top w:val="single" w:sz="18" w:space="0" w:color="auto"/>
            </w:tcBorders>
          </w:tcPr>
          <w:p w:rsidR="00696FC4" w:rsidRDefault="00E44C47" w:rsidP="003B3607">
            <w:pPr>
              <w:rPr>
                <w:bCs/>
                <w:szCs w:val="24"/>
              </w:rPr>
            </w:pPr>
            <w:r>
              <w:rPr>
                <w:bCs/>
                <w:szCs w:val="24"/>
              </w:rPr>
              <w:t>21</w:t>
            </w:r>
            <w:r w:rsidR="00F91628">
              <w:rPr>
                <w:bCs/>
                <w:szCs w:val="24"/>
              </w:rPr>
              <w:t xml:space="preserve"> June</w:t>
            </w:r>
            <w:r w:rsidR="00CB7175">
              <w:rPr>
                <w:bCs/>
                <w:szCs w:val="24"/>
              </w:rPr>
              <w:t xml:space="preserve"> </w:t>
            </w:r>
            <w:r w:rsidR="00696FC4">
              <w:rPr>
                <w:bCs/>
                <w:szCs w:val="24"/>
              </w:rPr>
              <w:t>201</w:t>
            </w:r>
            <w:r w:rsidR="00280E06">
              <w:rPr>
                <w:bCs/>
                <w:szCs w:val="24"/>
              </w:rPr>
              <w:t>8</w:t>
            </w:r>
          </w:p>
          <w:p w:rsidR="00591F00" w:rsidRDefault="00591F00" w:rsidP="003B3607">
            <w:pPr>
              <w:rPr>
                <w:bCs/>
                <w:szCs w:val="24"/>
              </w:rPr>
            </w:pPr>
          </w:p>
          <w:p w:rsidR="00EF3848" w:rsidRPr="00EF3848" w:rsidRDefault="00EF3848" w:rsidP="003B3607">
            <w:pPr>
              <w:rPr>
                <w:rFonts w:cs="Arial"/>
                <w:b/>
              </w:rPr>
            </w:pPr>
          </w:p>
        </w:tc>
      </w:tr>
      <w:tr w:rsidR="00696FC4" w:rsidTr="00074EF4">
        <w:trPr>
          <w:gridAfter w:val="1"/>
          <w:wAfter w:w="67" w:type="dxa"/>
        </w:trPr>
        <w:tc>
          <w:tcPr>
            <w:tcW w:w="3456" w:type="dxa"/>
          </w:tcPr>
          <w:p w:rsidR="00696FC4" w:rsidRDefault="00696FC4">
            <w:pPr>
              <w:pStyle w:val="Infotext"/>
              <w:rPr>
                <w:rFonts w:ascii="Arial Black" w:hAnsi="Arial Black" w:cs="Arial"/>
              </w:rPr>
            </w:pPr>
            <w:r>
              <w:rPr>
                <w:rFonts w:ascii="Arial Black" w:hAnsi="Arial Black" w:cs="Arial"/>
              </w:rPr>
              <w:t>Subject:</w:t>
            </w:r>
          </w:p>
          <w:p w:rsidR="00696FC4" w:rsidRDefault="00696FC4">
            <w:pPr>
              <w:pStyle w:val="Infotext"/>
              <w:rPr>
                <w:rFonts w:ascii="Arial Black" w:hAnsi="Arial Black"/>
              </w:rPr>
            </w:pPr>
          </w:p>
        </w:tc>
        <w:tc>
          <w:tcPr>
            <w:tcW w:w="5484" w:type="dxa"/>
            <w:gridSpan w:val="4"/>
          </w:tcPr>
          <w:p w:rsidR="00696FC4" w:rsidRDefault="00F91628" w:rsidP="00B11B73">
            <w:pPr>
              <w:rPr>
                <w:rFonts w:cs="Arial"/>
              </w:rPr>
            </w:pPr>
            <w:r>
              <w:rPr>
                <w:rFonts w:cs="Arial"/>
              </w:rPr>
              <w:t xml:space="preserve">Revenue and Capital Outturn </w:t>
            </w:r>
            <w:r w:rsidR="00B11B73">
              <w:rPr>
                <w:rFonts w:cs="Arial"/>
              </w:rPr>
              <w:t>2017/18</w:t>
            </w:r>
          </w:p>
        </w:tc>
      </w:tr>
      <w:tr w:rsidR="00696FC4" w:rsidTr="00074EF4">
        <w:trPr>
          <w:gridAfter w:val="1"/>
          <w:wAfter w:w="67" w:type="dxa"/>
        </w:trPr>
        <w:tc>
          <w:tcPr>
            <w:tcW w:w="3456" w:type="dxa"/>
          </w:tcPr>
          <w:p w:rsidR="00696FC4" w:rsidRDefault="00696FC4">
            <w:pPr>
              <w:pStyle w:val="Infotext"/>
              <w:rPr>
                <w:rFonts w:ascii="Arial Black" w:hAnsi="Arial Black" w:cs="Arial"/>
              </w:rPr>
            </w:pPr>
            <w:r>
              <w:rPr>
                <w:rFonts w:ascii="Arial Black" w:hAnsi="Arial Black" w:cs="Arial"/>
              </w:rPr>
              <w:t xml:space="preserve">Key Decision:  </w:t>
            </w:r>
          </w:p>
        </w:tc>
        <w:tc>
          <w:tcPr>
            <w:tcW w:w="5484" w:type="dxa"/>
            <w:gridSpan w:val="4"/>
          </w:tcPr>
          <w:p w:rsidR="00696FC4" w:rsidRDefault="00696FC4">
            <w:pPr>
              <w:rPr>
                <w:bCs/>
                <w:szCs w:val="24"/>
              </w:rPr>
            </w:pPr>
            <w:r>
              <w:rPr>
                <w:bCs/>
                <w:szCs w:val="24"/>
              </w:rPr>
              <w:t>Yes</w:t>
            </w:r>
          </w:p>
          <w:p w:rsidR="00696FC4" w:rsidRDefault="00696FC4">
            <w:pPr>
              <w:rPr>
                <w:rFonts w:cs="Arial"/>
              </w:rPr>
            </w:pPr>
          </w:p>
        </w:tc>
      </w:tr>
      <w:tr w:rsidR="00696FC4" w:rsidTr="00074EF4">
        <w:trPr>
          <w:gridAfter w:val="1"/>
          <w:wAfter w:w="67" w:type="dxa"/>
        </w:trPr>
        <w:tc>
          <w:tcPr>
            <w:tcW w:w="3456" w:type="dxa"/>
          </w:tcPr>
          <w:p w:rsidR="00696FC4" w:rsidRDefault="00696FC4">
            <w:pPr>
              <w:pStyle w:val="Infotext"/>
              <w:rPr>
                <w:rFonts w:ascii="Arial Black" w:hAnsi="Arial Black" w:cs="Arial"/>
              </w:rPr>
            </w:pPr>
            <w:r>
              <w:rPr>
                <w:rFonts w:ascii="Arial Black" w:hAnsi="Arial Black" w:cs="Arial"/>
              </w:rPr>
              <w:t>Responsible Officer:</w:t>
            </w:r>
          </w:p>
          <w:p w:rsidR="00696FC4" w:rsidRDefault="00696FC4">
            <w:pPr>
              <w:pStyle w:val="Infotext"/>
              <w:rPr>
                <w:rFonts w:ascii="Arial Black" w:hAnsi="Arial Black" w:cs="Arial"/>
              </w:rPr>
            </w:pPr>
          </w:p>
        </w:tc>
        <w:tc>
          <w:tcPr>
            <w:tcW w:w="5484" w:type="dxa"/>
            <w:gridSpan w:val="4"/>
          </w:tcPr>
          <w:p w:rsidR="00696FC4" w:rsidRDefault="0008561D" w:rsidP="00484862">
            <w:pPr>
              <w:rPr>
                <w:rFonts w:cs="Arial"/>
              </w:rPr>
            </w:pPr>
            <w:r>
              <w:rPr>
                <w:bCs/>
                <w:szCs w:val="24"/>
              </w:rPr>
              <w:t xml:space="preserve">Dawn Calvert, </w:t>
            </w:r>
            <w:r w:rsidR="00696FC4">
              <w:rPr>
                <w:bCs/>
                <w:szCs w:val="24"/>
              </w:rPr>
              <w:t xml:space="preserve">Director of </w:t>
            </w:r>
            <w:r w:rsidR="00F91628">
              <w:rPr>
                <w:bCs/>
                <w:szCs w:val="24"/>
              </w:rPr>
              <w:t xml:space="preserve">Finance </w:t>
            </w:r>
          </w:p>
        </w:tc>
      </w:tr>
      <w:tr w:rsidR="00696FC4" w:rsidTr="00074EF4">
        <w:trPr>
          <w:gridAfter w:val="1"/>
          <w:wAfter w:w="67" w:type="dxa"/>
        </w:trPr>
        <w:tc>
          <w:tcPr>
            <w:tcW w:w="3456" w:type="dxa"/>
          </w:tcPr>
          <w:p w:rsidR="00696FC4" w:rsidRDefault="00696FC4">
            <w:pPr>
              <w:pStyle w:val="Infotext"/>
              <w:rPr>
                <w:rFonts w:ascii="Arial Black" w:hAnsi="Arial Black" w:cs="Arial"/>
              </w:rPr>
            </w:pPr>
            <w:r>
              <w:rPr>
                <w:rFonts w:ascii="Arial Black" w:hAnsi="Arial Black" w:cs="Arial"/>
              </w:rPr>
              <w:t>Portfolio Holder:</w:t>
            </w:r>
          </w:p>
          <w:p w:rsidR="00696FC4" w:rsidRDefault="00696FC4">
            <w:pPr>
              <w:pStyle w:val="Infotext"/>
              <w:rPr>
                <w:rFonts w:ascii="Arial Black" w:hAnsi="Arial Black" w:cs="Arial"/>
              </w:rPr>
            </w:pPr>
          </w:p>
        </w:tc>
        <w:tc>
          <w:tcPr>
            <w:tcW w:w="5484" w:type="dxa"/>
            <w:gridSpan w:val="4"/>
          </w:tcPr>
          <w:p w:rsidR="00696FC4" w:rsidRDefault="00142267">
            <w:pPr>
              <w:rPr>
                <w:rFonts w:cs="Arial"/>
              </w:rPr>
            </w:pPr>
            <w:r>
              <w:rPr>
                <w:bCs/>
                <w:szCs w:val="24"/>
              </w:rPr>
              <w:t>Councillor</w:t>
            </w:r>
            <w:r w:rsidR="00944147">
              <w:rPr>
                <w:bCs/>
                <w:szCs w:val="24"/>
              </w:rPr>
              <w:t xml:space="preserve"> Adam Swersky</w:t>
            </w:r>
            <w:r w:rsidR="007F4174">
              <w:rPr>
                <w:bCs/>
                <w:szCs w:val="24"/>
              </w:rPr>
              <w:t>, Portfolio Holder for Finance</w:t>
            </w:r>
            <w:r w:rsidR="002A42A3">
              <w:rPr>
                <w:bCs/>
                <w:szCs w:val="24"/>
              </w:rPr>
              <w:t xml:space="preserve"> and </w:t>
            </w:r>
            <w:r w:rsidR="00CF3C87">
              <w:rPr>
                <w:bCs/>
                <w:szCs w:val="24"/>
              </w:rPr>
              <w:t>Commercialisation</w:t>
            </w:r>
          </w:p>
        </w:tc>
      </w:tr>
      <w:tr w:rsidR="00696FC4" w:rsidTr="00074EF4">
        <w:trPr>
          <w:gridAfter w:val="1"/>
          <w:wAfter w:w="67" w:type="dxa"/>
        </w:trPr>
        <w:tc>
          <w:tcPr>
            <w:tcW w:w="3456" w:type="dxa"/>
          </w:tcPr>
          <w:p w:rsidR="00696FC4" w:rsidRDefault="00696FC4">
            <w:pPr>
              <w:pStyle w:val="Infotext"/>
              <w:rPr>
                <w:rFonts w:ascii="Arial Black" w:hAnsi="Arial Black" w:cs="Arial"/>
              </w:rPr>
            </w:pPr>
            <w:r>
              <w:rPr>
                <w:rFonts w:ascii="Arial Black" w:hAnsi="Arial Black" w:cs="Arial"/>
              </w:rPr>
              <w:t>Exempt:</w:t>
            </w:r>
          </w:p>
          <w:p w:rsidR="00696FC4" w:rsidRDefault="00696FC4">
            <w:pPr>
              <w:pStyle w:val="Infotext"/>
              <w:rPr>
                <w:rFonts w:ascii="Arial Black" w:hAnsi="Arial Black" w:cs="Arial"/>
              </w:rPr>
            </w:pPr>
          </w:p>
        </w:tc>
        <w:tc>
          <w:tcPr>
            <w:tcW w:w="5484" w:type="dxa"/>
            <w:gridSpan w:val="4"/>
          </w:tcPr>
          <w:p w:rsidR="00470E6E" w:rsidRDefault="00470E6E">
            <w:pPr>
              <w:rPr>
                <w:bCs/>
                <w:szCs w:val="24"/>
              </w:rPr>
            </w:pPr>
            <w:r w:rsidRPr="00470E6E">
              <w:rPr>
                <w:bCs/>
                <w:szCs w:val="24"/>
              </w:rPr>
              <w:t xml:space="preserve">No, except for Appendix </w:t>
            </w:r>
            <w:r w:rsidR="005F793C">
              <w:rPr>
                <w:bCs/>
                <w:szCs w:val="24"/>
              </w:rPr>
              <w:t>5</w:t>
            </w:r>
            <w:r w:rsidRPr="00470E6E">
              <w:rPr>
                <w:bCs/>
                <w:szCs w:val="24"/>
              </w:rPr>
              <w:t>, which is exempt on the grounds that it contains “exempt information” under paragraph 3 of Part I of Schedule 12A to the Local Government Act 1972 (as amended) in that it contains information relating to the financial or business affairs of any particular person (including the authority holding that information</w:t>
            </w:r>
            <w:r w:rsidR="00AE7967">
              <w:rPr>
                <w:bCs/>
                <w:szCs w:val="24"/>
              </w:rPr>
              <w:t>)</w:t>
            </w:r>
          </w:p>
          <w:p w:rsidR="00696FC4" w:rsidRDefault="00696FC4">
            <w:pPr>
              <w:rPr>
                <w:rFonts w:cs="Arial"/>
              </w:rPr>
            </w:pPr>
            <w:r>
              <w:rPr>
                <w:rFonts w:cs="Arial"/>
              </w:rPr>
              <w:t xml:space="preserve"> </w:t>
            </w:r>
          </w:p>
        </w:tc>
      </w:tr>
      <w:tr w:rsidR="00696FC4" w:rsidTr="00074EF4">
        <w:trPr>
          <w:gridAfter w:val="1"/>
          <w:wAfter w:w="67" w:type="dxa"/>
        </w:trPr>
        <w:tc>
          <w:tcPr>
            <w:tcW w:w="3456" w:type="dxa"/>
          </w:tcPr>
          <w:p w:rsidR="00696FC4" w:rsidRDefault="00696FC4">
            <w:pPr>
              <w:pStyle w:val="Infotext"/>
              <w:rPr>
                <w:rFonts w:ascii="Arial Black" w:hAnsi="Arial Black" w:cs="Arial"/>
              </w:rPr>
            </w:pPr>
            <w:r>
              <w:rPr>
                <w:rFonts w:ascii="Arial Black" w:hAnsi="Arial Black" w:cs="Arial"/>
              </w:rPr>
              <w:t>Decision subject to Call-in:</w:t>
            </w:r>
          </w:p>
        </w:tc>
        <w:tc>
          <w:tcPr>
            <w:tcW w:w="5484" w:type="dxa"/>
            <w:gridSpan w:val="4"/>
          </w:tcPr>
          <w:p w:rsidR="00696FC4" w:rsidRDefault="00696FC4">
            <w:pPr>
              <w:rPr>
                <w:rFonts w:cs="Arial"/>
              </w:rPr>
            </w:pPr>
            <w:r>
              <w:rPr>
                <w:bCs/>
                <w:szCs w:val="24"/>
              </w:rPr>
              <w:t>Yes</w:t>
            </w:r>
          </w:p>
        </w:tc>
      </w:tr>
      <w:tr w:rsidR="000A55D4" w:rsidTr="00074EF4">
        <w:trPr>
          <w:gridAfter w:val="3"/>
          <w:wAfter w:w="497" w:type="dxa"/>
        </w:trPr>
        <w:tc>
          <w:tcPr>
            <w:tcW w:w="3456" w:type="dxa"/>
          </w:tcPr>
          <w:p w:rsidR="000A55D4" w:rsidRDefault="000A55D4" w:rsidP="0048119F">
            <w:pPr>
              <w:pStyle w:val="Infotext"/>
              <w:rPr>
                <w:rFonts w:ascii="Arial Black" w:hAnsi="Arial Black" w:cs="Arial"/>
              </w:rPr>
            </w:pPr>
            <w:r>
              <w:rPr>
                <w:rFonts w:ascii="Arial Black" w:hAnsi="Arial Black" w:cs="Arial"/>
              </w:rPr>
              <w:t>Wards affected:</w:t>
            </w:r>
          </w:p>
          <w:p w:rsidR="000A55D4" w:rsidRPr="00C13A5F" w:rsidRDefault="000A55D4" w:rsidP="0048119F">
            <w:pPr>
              <w:pStyle w:val="Infotext"/>
              <w:rPr>
                <w:rFonts w:ascii="Arial Black" w:hAnsi="Arial Black" w:cs="Arial"/>
              </w:rPr>
            </w:pPr>
          </w:p>
        </w:tc>
        <w:tc>
          <w:tcPr>
            <w:tcW w:w="5054" w:type="dxa"/>
            <w:gridSpan w:val="2"/>
          </w:tcPr>
          <w:p w:rsidR="000A55D4" w:rsidRPr="00E06FC6" w:rsidRDefault="000A55D4" w:rsidP="0048119F">
            <w:pPr>
              <w:pStyle w:val="Heading3"/>
              <w:rPr>
                <w:b w:val="0"/>
                <w:i w:val="0"/>
              </w:rPr>
            </w:pPr>
            <w:r>
              <w:rPr>
                <w:b w:val="0"/>
                <w:i w:val="0"/>
              </w:rPr>
              <w:t>All ward</w:t>
            </w:r>
            <w:r w:rsidR="00DA6A20">
              <w:rPr>
                <w:b w:val="0"/>
                <w:i w:val="0"/>
              </w:rPr>
              <w:t>s</w:t>
            </w:r>
          </w:p>
        </w:tc>
      </w:tr>
      <w:tr w:rsidR="00696FC4" w:rsidTr="00074EF4">
        <w:trPr>
          <w:gridAfter w:val="1"/>
          <w:wAfter w:w="67" w:type="dxa"/>
        </w:trPr>
        <w:tc>
          <w:tcPr>
            <w:tcW w:w="3456" w:type="dxa"/>
          </w:tcPr>
          <w:p w:rsidR="00696FC4" w:rsidRDefault="00696FC4">
            <w:pPr>
              <w:pStyle w:val="Infotext"/>
              <w:rPr>
                <w:rFonts w:ascii="Arial Black" w:hAnsi="Arial Black" w:cs="Arial"/>
              </w:rPr>
            </w:pPr>
            <w:r>
              <w:rPr>
                <w:rFonts w:ascii="Arial Black" w:hAnsi="Arial Black" w:cs="Arial"/>
              </w:rPr>
              <w:t>Enclosures:</w:t>
            </w:r>
          </w:p>
          <w:p w:rsidR="00696FC4" w:rsidRDefault="00696FC4">
            <w:pPr>
              <w:pStyle w:val="Infotext"/>
              <w:rPr>
                <w:rFonts w:ascii="Arial Black" w:hAnsi="Arial Black" w:cs="Arial"/>
              </w:rPr>
            </w:pPr>
          </w:p>
        </w:tc>
        <w:tc>
          <w:tcPr>
            <w:tcW w:w="5484" w:type="dxa"/>
            <w:gridSpan w:val="4"/>
          </w:tcPr>
          <w:p w:rsidR="003C0457" w:rsidRDefault="00696FC4">
            <w:pPr>
              <w:rPr>
                <w:rFonts w:cs="Arial"/>
                <w:szCs w:val="24"/>
              </w:rPr>
            </w:pPr>
            <w:r>
              <w:rPr>
                <w:rFonts w:cs="Arial"/>
              </w:rPr>
              <w:t xml:space="preserve">Appendix </w:t>
            </w:r>
            <w:r w:rsidR="00942F9C">
              <w:rPr>
                <w:rFonts w:cs="Arial"/>
              </w:rPr>
              <w:t>1</w:t>
            </w:r>
            <w:r>
              <w:rPr>
                <w:rFonts w:cs="Arial"/>
              </w:rPr>
              <w:t xml:space="preserve"> </w:t>
            </w:r>
            <w:r w:rsidR="002F2ECB">
              <w:rPr>
                <w:rFonts w:cs="Arial"/>
              </w:rPr>
              <w:t xml:space="preserve">- </w:t>
            </w:r>
            <w:r w:rsidR="00950FEF">
              <w:rPr>
                <w:rFonts w:cs="Arial"/>
                <w:szCs w:val="24"/>
              </w:rPr>
              <w:t xml:space="preserve"> </w:t>
            </w:r>
            <w:r w:rsidR="0032045E">
              <w:rPr>
                <w:rFonts w:cs="Arial"/>
                <w:szCs w:val="24"/>
              </w:rPr>
              <w:t>Revenue</w:t>
            </w:r>
            <w:r w:rsidR="00BE2DC6">
              <w:rPr>
                <w:rFonts w:cs="Arial"/>
                <w:szCs w:val="24"/>
              </w:rPr>
              <w:t xml:space="preserve"> </w:t>
            </w:r>
            <w:r w:rsidR="002F3277" w:rsidRPr="002F3277">
              <w:rPr>
                <w:rFonts w:cs="Arial"/>
                <w:szCs w:val="24"/>
              </w:rPr>
              <w:t xml:space="preserve">Carry forward Schedule </w:t>
            </w:r>
          </w:p>
          <w:p w:rsidR="002F3277" w:rsidRPr="002F3277" w:rsidRDefault="003C0457" w:rsidP="002F3277">
            <w:pPr>
              <w:rPr>
                <w:rFonts w:cs="Arial"/>
                <w:szCs w:val="24"/>
              </w:rPr>
            </w:pPr>
            <w:r>
              <w:rPr>
                <w:rFonts w:cs="Arial"/>
                <w:szCs w:val="24"/>
              </w:rPr>
              <w:t xml:space="preserve">Appendix 2 </w:t>
            </w:r>
            <w:r w:rsidR="003F74D4">
              <w:rPr>
                <w:rFonts w:cs="Arial"/>
                <w:szCs w:val="24"/>
              </w:rPr>
              <w:t>-</w:t>
            </w:r>
            <w:r w:rsidR="002D713C">
              <w:rPr>
                <w:rFonts w:cs="Arial"/>
                <w:szCs w:val="24"/>
              </w:rPr>
              <w:t xml:space="preserve"> </w:t>
            </w:r>
            <w:r w:rsidR="002F3277" w:rsidRPr="002F3277">
              <w:rPr>
                <w:rFonts w:cs="Arial"/>
                <w:szCs w:val="24"/>
              </w:rPr>
              <w:t>Capital Receipts Flexibility</w:t>
            </w:r>
            <w:r w:rsidR="002F3277" w:rsidRPr="002F3277" w:rsidDel="002D713C">
              <w:rPr>
                <w:rFonts w:cs="Arial"/>
                <w:szCs w:val="24"/>
              </w:rPr>
              <w:t xml:space="preserve"> </w:t>
            </w:r>
            <w:r w:rsidR="0032045E">
              <w:rPr>
                <w:rFonts w:cs="Arial"/>
                <w:szCs w:val="24"/>
              </w:rPr>
              <w:t>Strategy</w:t>
            </w:r>
          </w:p>
          <w:p w:rsidR="001F4049" w:rsidRPr="001F4049" w:rsidRDefault="00B121F3" w:rsidP="001F4049">
            <w:pPr>
              <w:rPr>
                <w:rFonts w:cs="Arial"/>
                <w:szCs w:val="24"/>
              </w:rPr>
            </w:pPr>
            <w:r>
              <w:rPr>
                <w:rFonts w:cs="Arial"/>
                <w:szCs w:val="24"/>
              </w:rPr>
              <w:t xml:space="preserve">Appendix </w:t>
            </w:r>
            <w:r w:rsidR="003C0457">
              <w:rPr>
                <w:rFonts w:cs="Arial"/>
                <w:szCs w:val="24"/>
              </w:rPr>
              <w:t>3</w:t>
            </w:r>
            <w:r>
              <w:rPr>
                <w:rFonts w:cs="Arial"/>
                <w:szCs w:val="24"/>
              </w:rPr>
              <w:t xml:space="preserve"> </w:t>
            </w:r>
            <w:r w:rsidR="00B65032">
              <w:rPr>
                <w:rFonts w:cs="Arial"/>
                <w:szCs w:val="24"/>
              </w:rPr>
              <w:t>-</w:t>
            </w:r>
            <w:r>
              <w:rPr>
                <w:rFonts w:cs="Arial"/>
                <w:szCs w:val="24"/>
              </w:rPr>
              <w:t xml:space="preserve"> </w:t>
            </w:r>
            <w:r w:rsidR="002F3277" w:rsidRPr="002F3277">
              <w:rPr>
                <w:rFonts w:cs="Arial"/>
                <w:szCs w:val="24"/>
              </w:rPr>
              <w:t>Movements</w:t>
            </w:r>
            <w:r w:rsidR="0032045E">
              <w:rPr>
                <w:rFonts w:cs="Arial"/>
                <w:szCs w:val="24"/>
              </w:rPr>
              <w:t xml:space="preserve"> in Reserve</w:t>
            </w:r>
            <w:r w:rsidR="002F3277" w:rsidRPr="002F3277">
              <w:rPr>
                <w:rFonts w:cs="Arial"/>
                <w:szCs w:val="24"/>
              </w:rPr>
              <w:t xml:space="preserve"> 2017/18</w:t>
            </w:r>
          </w:p>
          <w:p w:rsidR="002F3277" w:rsidRPr="002F3277" w:rsidRDefault="00436EBA" w:rsidP="002F3277">
            <w:pPr>
              <w:rPr>
                <w:rFonts w:cs="Arial"/>
                <w:szCs w:val="24"/>
              </w:rPr>
            </w:pPr>
            <w:r>
              <w:rPr>
                <w:rFonts w:cs="Arial"/>
                <w:szCs w:val="24"/>
              </w:rPr>
              <w:t xml:space="preserve">Appendix </w:t>
            </w:r>
            <w:r w:rsidR="003C0457">
              <w:rPr>
                <w:rFonts w:cs="Arial"/>
                <w:szCs w:val="24"/>
              </w:rPr>
              <w:t>4</w:t>
            </w:r>
            <w:r>
              <w:rPr>
                <w:rFonts w:cs="Arial"/>
                <w:szCs w:val="24"/>
              </w:rPr>
              <w:t xml:space="preserve"> </w:t>
            </w:r>
            <w:r w:rsidR="003F74D4">
              <w:rPr>
                <w:rFonts w:cs="Arial"/>
                <w:szCs w:val="24"/>
              </w:rPr>
              <w:t>-</w:t>
            </w:r>
            <w:r>
              <w:rPr>
                <w:rFonts w:cs="Arial"/>
                <w:szCs w:val="24"/>
              </w:rPr>
              <w:t xml:space="preserve"> </w:t>
            </w:r>
            <w:r w:rsidR="002F3277" w:rsidRPr="002F3277">
              <w:rPr>
                <w:rFonts w:cs="Arial"/>
                <w:szCs w:val="24"/>
              </w:rPr>
              <w:t>2017</w:t>
            </w:r>
            <w:r w:rsidR="0032045E">
              <w:rPr>
                <w:rFonts w:cs="Arial"/>
                <w:szCs w:val="24"/>
              </w:rPr>
              <w:t>-</w:t>
            </w:r>
            <w:r w:rsidR="002F3277" w:rsidRPr="002F3277">
              <w:rPr>
                <w:rFonts w:cs="Arial"/>
                <w:szCs w:val="24"/>
              </w:rPr>
              <w:t xml:space="preserve">18 </w:t>
            </w:r>
            <w:r w:rsidR="003F74D4">
              <w:rPr>
                <w:rFonts w:cs="Arial"/>
                <w:szCs w:val="24"/>
              </w:rPr>
              <w:t>MTFS</w:t>
            </w:r>
            <w:r w:rsidR="0032045E">
              <w:rPr>
                <w:rFonts w:cs="Arial"/>
                <w:szCs w:val="24"/>
              </w:rPr>
              <w:t xml:space="preserve"> Savings Tracker</w:t>
            </w:r>
          </w:p>
          <w:p w:rsidR="007F2DCB" w:rsidRPr="006F766E" w:rsidRDefault="007F2DCB">
            <w:pPr>
              <w:rPr>
                <w:rFonts w:cs="Arial"/>
                <w:i/>
                <w:szCs w:val="24"/>
              </w:rPr>
            </w:pPr>
            <w:r>
              <w:rPr>
                <w:rFonts w:cs="Arial"/>
                <w:szCs w:val="24"/>
              </w:rPr>
              <w:t xml:space="preserve">Appendix </w:t>
            </w:r>
            <w:r w:rsidR="0032045E">
              <w:rPr>
                <w:rFonts w:cs="Arial"/>
                <w:szCs w:val="24"/>
              </w:rPr>
              <w:t>5</w:t>
            </w:r>
            <w:r>
              <w:rPr>
                <w:rFonts w:cs="Arial"/>
                <w:szCs w:val="24"/>
              </w:rPr>
              <w:t xml:space="preserve"> </w:t>
            </w:r>
            <w:r w:rsidR="003F74D4">
              <w:rPr>
                <w:rFonts w:cs="Arial"/>
                <w:szCs w:val="24"/>
              </w:rPr>
              <w:t>-</w:t>
            </w:r>
            <w:r>
              <w:rPr>
                <w:rFonts w:cs="Arial"/>
                <w:szCs w:val="24"/>
              </w:rPr>
              <w:t xml:space="preserve"> </w:t>
            </w:r>
            <w:proofErr w:type="spellStart"/>
            <w:r w:rsidR="002D713C" w:rsidRPr="002D713C">
              <w:rPr>
                <w:rFonts w:cs="Arial"/>
                <w:szCs w:val="24"/>
              </w:rPr>
              <w:t>Concilium</w:t>
            </w:r>
            <w:proofErr w:type="spellEnd"/>
            <w:r w:rsidR="002D713C" w:rsidRPr="002D713C">
              <w:rPr>
                <w:rFonts w:cs="Arial"/>
                <w:szCs w:val="24"/>
              </w:rPr>
              <w:t xml:space="preserve"> Business Services Performance Report </w:t>
            </w:r>
          </w:p>
          <w:p w:rsidR="002D713C" w:rsidRPr="002D713C" w:rsidRDefault="00C624C5" w:rsidP="002D713C">
            <w:pPr>
              <w:rPr>
                <w:rFonts w:cs="Arial"/>
                <w:szCs w:val="24"/>
              </w:rPr>
            </w:pPr>
            <w:r>
              <w:rPr>
                <w:rFonts w:cs="Arial"/>
                <w:szCs w:val="24"/>
              </w:rPr>
              <w:t xml:space="preserve">Appendix </w:t>
            </w:r>
            <w:r w:rsidR="0032045E">
              <w:rPr>
                <w:rFonts w:cs="Arial"/>
                <w:szCs w:val="24"/>
              </w:rPr>
              <w:t>6</w:t>
            </w:r>
            <w:r>
              <w:rPr>
                <w:rFonts w:cs="Arial"/>
                <w:szCs w:val="24"/>
              </w:rPr>
              <w:t xml:space="preserve"> </w:t>
            </w:r>
            <w:r w:rsidR="003F74D4">
              <w:rPr>
                <w:rFonts w:cs="Arial"/>
                <w:szCs w:val="24"/>
              </w:rPr>
              <w:t>-</w:t>
            </w:r>
            <w:r w:rsidR="002D713C" w:rsidRPr="002D713C">
              <w:rPr>
                <w:rFonts w:cs="Arial"/>
              </w:rPr>
              <w:t xml:space="preserve"> </w:t>
            </w:r>
            <w:r w:rsidR="002D713C" w:rsidRPr="002D713C">
              <w:rPr>
                <w:rFonts w:cs="Arial"/>
                <w:szCs w:val="24"/>
              </w:rPr>
              <w:t xml:space="preserve">Capital </w:t>
            </w:r>
            <w:r w:rsidR="002D713C">
              <w:rPr>
                <w:rFonts w:cs="Arial"/>
                <w:szCs w:val="24"/>
              </w:rPr>
              <w:t>Outturn</w:t>
            </w:r>
            <w:r w:rsidR="00FE1411">
              <w:rPr>
                <w:rFonts w:cs="Arial"/>
                <w:szCs w:val="24"/>
              </w:rPr>
              <w:t xml:space="preserve"> and Funding</w:t>
            </w:r>
            <w:r w:rsidR="002D713C" w:rsidRPr="002D713C" w:rsidDel="00950FEF">
              <w:rPr>
                <w:rFonts w:cs="Arial"/>
                <w:szCs w:val="24"/>
              </w:rPr>
              <w:t xml:space="preserve"> </w:t>
            </w:r>
          </w:p>
          <w:p w:rsidR="00470E6E" w:rsidRDefault="00470E6E">
            <w:pPr>
              <w:rPr>
                <w:rFonts w:cs="Arial"/>
                <w:szCs w:val="24"/>
              </w:rPr>
            </w:pPr>
          </w:p>
          <w:p w:rsidR="00F51D7C" w:rsidRDefault="00F51D7C">
            <w:pPr>
              <w:rPr>
                <w:rFonts w:cs="Arial"/>
                <w:szCs w:val="24"/>
              </w:rPr>
            </w:pPr>
          </w:p>
          <w:p w:rsidR="007B774D" w:rsidRDefault="007B774D">
            <w:pPr>
              <w:rPr>
                <w:rFonts w:cs="Arial"/>
                <w:szCs w:val="24"/>
              </w:rPr>
            </w:pPr>
          </w:p>
          <w:p w:rsidR="0032045E" w:rsidRDefault="0032045E">
            <w:pPr>
              <w:rPr>
                <w:rFonts w:cs="Arial"/>
                <w:szCs w:val="24"/>
              </w:rPr>
            </w:pPr>
          </w:p>
          <w:p w:rsidR="0032045E" w:rsidRDefault="0032045E">
            <w:pPr>
              <w:rPr>
                <w:rFonts w:cs="Arial"/>
                <w:szCs w:val="24"/>
              </w:rPr>
            </w:pPr>
          </w:p>
          <w:p w:rsidR="008A1B85" w:rsidRDefault="008A1B85">
            <w:pPr>
              <w:rPr>
                <w:rFonts w:cs="Arial"/>
                <w:szCs w:val="24"/>
              </w:rPr>
            </w:pPr>
          </w:p>
        </w:tc>
      </w:tr>
      <w:tr w:rsidR="00696FC4" w:rsidTr="00484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Pr>
        <w:tc>
          <w:tcPr>
            <w:tcW w:w="8897" w:type="dxa"/>
            <w:gridSpan w:val="4"/>
            <w:tcBorders>
              <w:top w:val="nil"/>
              <w:left w:val="nil"/>
              <w:right w:val="nil"/>
            </w:tcBorders>
          </w:tcPr>
          <w:p w:rsidR="00696FC4" w:rsidRDefault="00696FC4">
            <w:pPr>
              <w:pStyle w:val="Heading1"/>
              <w:ind w:right="-480"/>
            </w:pPr>
            <w:r>
              <w:lastRenderedPageBreak/>
              <w:t>Section 1 – Summary and Recommendations</w:t>
            </w:r>
          </w:p>
          <w:p w:rsidR="00696FC4" w:rsidRDefault="00696FC4">
            <w:pPr>
              <w:ind w:right="-480"/>
            </w:pPr>
          </w:p>
        </w:tc>
      </w:tr>
      <w:tr w:rsidR="00696FC4" w:rsidRPr="00944147" w:rsidTr="00484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Pr>
        <w:tc>
          <w:tcPr>
            <w:tcW w:w="8897" w:type="dxa"/>
            <w:gridSpan w:val="4"/>
          </w:tcPr>
          <w:p w:rsidR="000D5EBC" w:rsidRPr="00E229A7" w:rsidRDefault="00696FC4">
            <w:pPr>
              <w:pStyle w:val="BodyText3"/>
              <w:jc w:val="left"/>
            </w:pPr>
            <w:r w:rsidRPr="00E229A7">
              <w:t xml:space="preserve">This report sets out the Council’s revenue and capital </w:t>
            </w:r>
            <w:r w:rsidR="00F91628" w:rsidRPr="00E229A7">
              <w:t>outturn</w:t>
            </w:r>
            <w:r w:rsidRPr="00E229A7">
              <w:t xml:space="preserve"> position </w:t>
            </w:r>
            <w:r w:rsidR="00F91628" w:rsidRPr="00E229A7">
              <w:t>for 20</w:t>
            </w:r>
            <w:r w:rsidR="00944147" w:rsidRPr="00E229A7">
              <w:t>17</w:t>
            </w:r>
            <w:r w:rsidR="00E44C47">
              <w:t>/18</w:t>
            </w:r>
          </w:p>
          <w:p w:rsidR="00696FC4" w:rsidRPr="00E229A7" w:rsidRDefault="00696FC4">
            <w:pPr>
              <w:pStyle w:val="BodyText3"/>
              <w:jc w:val="left"/>
              <w:rPr>
                <w:b/>
                <w:bCs/>
                <w:u w:val="single"/>
              </w:rPr>
            </w:pPr>
            <w:r w:rsidRPr="00E229A7">
              <w:rPr>
                <w:b/>
                <w:bCs/>
                <w:u w:val="single"/>
              </w:rPr>
              <w:t xml:space="preserve">Recommendations: </w:t>
            </w:r>
          </w:p>
          <w:p w:rsidR="00457774" w:rsidRPr="006F766E" w:rsidRDefault="00457774">
            <w:pPr>
              <w:pStyle w:val="BodyText3"/>
              <w:jc w:val="left"/>
              <w:rPr>
                <w:b/>
                <w:bCs/>
                <w:highlight w:val="yellow"/>
                <w:u w:val="single"/>
              </w:rPr>
            </w:pPr>
          </w:p>
          <w:p w:rsidR="00696FC4" w:rsidRDefault="00C41C83" w:rsidP="00AA3B74">
            <w:pPr>
              <w:pStyle w:val="BodyText3"/>
              <w:numPr>
                <w:ilvl w:val="0"/>
                <w:numId w:val="3"/>
              </w:numPr>
              <w:ind w:left="1077" w:hanging="357"/>
            </w:pPr>
            <w:r w:rsidRPr="00E229A7">
              <w:t>That Cabinet notes</w:t>
            </w:r>
            <w:r w:rsidR="00696FC4" w:rsidRPr="00E229A7">
              <w:t xml:space="preserve"> the revenue and capital outturn position </w:t>
            </w:r>
            <w:r w:rsidR="00F4695D" w:rsidRPr="00E229A7">
              <w:t>for 20</w:t>
            </w:r>
            <w:r w:rsidR="00E229A7" w:rsidRPr="006F766E">
              <w:t>17</w:t>
            </w:r>
            <w:r w:rsidR="00E44C47">
              <w:t>/18</w:t>
            </w:r>
            <w:r w:rsidR="00C86780">
              <w:t xml:space="preserve"> as detailed in paragraphs </w:t>
            </w:r>
            <w:r w:rsidR="00B63509">
              <w:t>1</w:t>
            </w:r>
            <w:r w:rsidR="00DD7468">
              <w:t>.0</w:t>
            </w:r>
            <w:r w:rsidR="00C86780">
              <w:t xml:space="preserve"> </w:t>
            </w:r>
            <w:r w:rsidR="00B63509">
              <w:t>to</w:t>
            </w:r>
            <w:r w:rsidR="00C86780">
              <w:t xml:space="preserve"> </w:t>
            </w:r>
            <w:r w:rsidR="00B54A4A">
              <w:t>1.3</w:t>
            </w:r>
            <w:r w:rsidR="00991001">
              <w:t>.</w:t>
            </w:r>
          </w:p>
          <w:p w:rsidR="004F7C92" w:rsidRDefault="004F7C92" w:rsidP="00AA3B74">
            <w:pPr>
              <w:pStyle w:val="BodyText3"/>
              <w:ind w:left="1077"/>
            </w:pPr>
          </w:p>
          <w:p w:rsidR="00991001" w:rsidRPr="004F7C92" w:rsidRDefault="004F7C92" w:rsidP="00AA3B74">
            <w:pPr>
              <w:pStyle w:val="ListParagraph"/>
              <w:numPr>
                <w:ilvl w:val="0"/>
                <w:numId w:val="3"/>
              </w:numPr>
              <w:ind w:left="1077"/>
              <w:jc w:val="both"/>
              <w:rPr>
                <w:rFonts w:cs="Arial"/>
                <w:szCs w:val="24"/>
              </w:rPr>
            </w:pPr>
            <w:r w:rsidRPr="004F7C92">
              <w:rPr>
                <w:rFonts w:cs="Arial"/>
                <w:szCs w:val="24"/>
              </w:rPr>
              <w:t>That Cabinet approves debt write offs totalling £61,381 as</w:t>
            </w:r>
            <w:r>
              <w:rPr>
                <w:rFonts w:cs="Arial"/>
                <w:szCs w:val="24"/>
              </w:rPr>
              <w:t xml:space="preserve"> specified in paragraphs </w:t>
            </w:r>
            <w:r w:rsidR="00B54A4A">
              <w:rPr>
                <w:rFonts w:cs="Arial"/>
                <w:szCs w:val="24"/>
              </w:rPr>
              <w:t>2.1</w:t>
            </w:r>
            <w:r w:rsidR="00B23BC2">
              <w:rPr>
                <w:rFonts w:cs="Arial"/>
                <w:szCs w:val="24"/>
              </w:rPr>
              <w:t>5</w:t>
            </w:r>
            <w:r w:rsidR="00991001">
              <w:rPr>
                <w:rFonts w:cs="Arial"/>
                <w:szCs w:val="24"/>
              </w:rPr>
              <w:t>.</w:t>
            </w:r>
          </w:p>
          <w:p w:rsidR="00280E06" w:rsidRDefault="00280E06" w:rsidP="00AA3B74">
            <w:pPr>
              <w:pStyle w:val="ListParagraph"/>
              <w:ind w:left="1077"/>
              <w:jc w:val="both"/>
            </w:pPr>
          </w:p>
          <w:p w:rsidR="00793A11" w:rsidRPr="006F766E" w:rsidRDefault="00C41C83" w:rsidP="00AA3B74">
            <w:pPr>
              <w:pStyle w:val="BodyText3"/>
              <w:numPr>
                <w:ilvl w:val="0"/>
                <w:numId w:val="3"/>
              </w:numPr>
              <w:rPr>
                <w:color w:val="FF0000"/>
              </w:rPr>
            </w:pPr>
            <w:r w:rsidRPr="002B2BAE">
              <w:t xml:space="preserve">That Cabinet </w:t>
            </w:r>
            <w:r w:rsidR="00B85942">
              <w:t>notes</w:t>
            </w:r>
            <w:r w:rsidRPr="002B2BAE">
              <w:t xml:space="preserve"> </w:t>
            </w:r>
            <w:r w:rsidR="00EF2466" w:rsidRPr="002B2BAE">
              <w:t xml:space="preserve">the </w:t>
            </w:r>
            <w:r w:rsidR="000A78FF">
              <w:t xml:space="preserve">movement </w:t>
            </w:r>
            <w:r w:rsidR="001E0D1B">
              <w:t xml:space="preserve">between </w:t>
            </w:r>
            <w:r w:rsidR="00E246D7" w:rsidRPr="002B2BAE">
              <w:t xml:space="preserve">reserves </w:t>
            </w:r>
            <w:r w:rsidR="00F4695D" w:rsidRPr="002B2BAE">
              <w:t>outlined in paragraph</w:t>
            </w:r>
            <w:r w:rsidR="00C86780">
              <w:t>s</w:t>
            </w:r>
            <w:r w:rsidR="005C2960">
              <w:t xml:space="preserve"> </w:t>
            </w:r>
            <w:r w:rsidR="00B54A4A">
              <w:t>2.2</w:t>
            </w:r>
            <w:r w:rsidR="00B87D4A">
              <w:t>6</w:t>
            </w:r>
            <w:r w:rsidR="00413229">
              <w:t xml:space="preserve"> to </w:t>
            </w:r>
            <w:r w:rsidR="007B2F9A">
              <w:t>2</w:t>
            </w:r>
            <w:r w:rsidR="00B23BC2">
              <w:t>.3</w:t>
            </w:r>
            <w:r w:rsidR="00C91067">
              <w:t>5</w:t>
            </w:r>
            <w:r w:rsidR="00991001">
              <w:t>.</w:t>
            </w:r>
          </w:p>
          <w:p w:rsidR="00EF2466" w:rsidRPr="002B2BAE" w:rsidRDefault="00EF2466" w:rsidP="00AA3B74">
            <w:pPr>
              <w:pStyle w:val="BodyText3"/>
              <w:ind w:left="1080"/>
              <w:rPr>
                <w:color w:val="FF0000"/>
              </w:rPr>
            </w:pPr>
          </w:p>
          <w:p w:rsidR="00445A62" w:rsidRDefault="00C41C83" w:rsidP="00AA3B74">
            <w:pPr>
              <w:pStyle w:val="BodyText3"/>
              <w:numPr>
                <w:ilvl w:val="0"/>
                <w:numId w:val="3"/>
              </w:numPr>
              <w:ind w:left="1077" w:hanging="357"/>
            </w:pPr>
            <w:r w:rsidRPr="002B2BAE">
              <w:t xml:space="preserve">That Cabinet </w:t>
            </w:r>
            <w:r w:rsidR="00AA3101">
              <w:t>notes</w:t>
            </w:r>
            <w:r w:rsidRPr="002B2BAE">
              <w:t xml:space="preserve"> </w:t>
            </w:r>
            <w:r w:rsidR="00445A62" w:rsidRPr="002B2BAE">
              <w:t>the revenue carry forwards outlined at paragraph</w:t>
            </w:r>
            <w:r w:rsidR="00655A89">
              <w:t>s</w:t>
            </w:r>
            <w:r w:rsidR="000445C5" w:rsidRPr="002B2BAE">
              <w:t xml:space="preserve"> </w:t>
            </w:r>
            <w:r w:rsidR="00B23BC2">
              <w:t>2.3</w:t>
            </w:r>
            <w:r w:rsidR="00C91067">
              <w:t>4</w:t>
            </w:r>
            <w:r w:rsidR="007B774D">
              <w:t xml:space="preserve"> to </w:t>
            </w:r>
            <w:r w:rsidR="00C13A84">
              <w:t>2</w:t>
            </w:r>
            <w:r w:rsidR="00B23BC2">
              <w:t>.3</w:t>
            </w:r>
            <w:r w:rsidR="00C91067">
              <w:t>5</w:t>
            </w:r>
            <w:r w:rsidR="007B774D">
              <w:t xml:space="preserve"> </w:t>
            </w:r>
            <w:r w:rsidR="00445A62" w:rsidRPr="002B2BAE">
              <w:t xml:space="preserve">and detailed in </w:t>
            </w:r>
            <w:r w:rsidR="00D21A7B" w:rsidRPr="002B2BAE">
              <w:t>A</w:t>
            </w:r>
            <w:r w:rsidR="00445A62" w:rsidRPr="002B2BAE">
              <w:t xml:space="preserve">ppendix </w:t>
            </w:r>
            <w:r w:rsidR="002F3277">
              <w:t>1</w:t>
            </w:r>
            <w:r w:rsidR="00991001" w:rsidRPr="00991001">
              <w:rPr>
                <w:rFonts w:cs="Times New Roman"/>
                <w:szCs w:val="20"/>
              </w:rPr>
              <w:t xml:space="preserve"> </w:t>
            </w:r>
            <w:r w:rsidR="00991001" w:rsidRPr="00991001">
              <w:t>that have been approved under delegated authority by the Director of Finance</w:t>
            </w:r>
            <w:r w:rsidR="00991001">
              <w:t>.</w:t>
            </w:r>
          </w:p>
          <w:p w:rsidR="00793A11" w:rsidRPr="002B2BAE" w:rsidRDefault="00793A11" w:rsidP="00AA3B74">
            <w:pPr>
              <w:pStyle w:val="BodyText3"/>
              <w:ind w:left="1077"/>
            </w:pPr>
          </w:p>
          <w:p w:rsidR="00570686" w:rsidRDefault="00570686" w:rsidP="00AA3B74">
            <w:pPr>
              <w:pStyle w:val="BodyText3"/>
              <w:numPr>
                <w:ilvl w:val="0"/>
                <w:numId w:val="3"/>
              </w:numPr>
              <w:ind w:left="1077" w:hanging="357"/>
            </w:pPr>
            <w:r w:rsidRPr="002B2BAE">
              <w:t>That Cabinet notes the carry forwards on the capital programme outlined in</w:t>
            </w:r>
            <w:r w:rsidR="007B774D">
              <w:t xml:space="preserve"> table </w:t>
            </w:r>
            <w:r w:rsidR="0032045E">
              <w:t>8</w:t>
            </w:r>
            <w:r w:rsidRPr="002B2BAE">
              <w:t xml:space="preserve"> and set out at Appendix</w:t>
            </w:r>
            <w:r w:rsidR="002F2ECB">
              <w:t xml:space="preserve"> </w:t>
            </w:r>
            <w:r w:rsidR="0032045E">
              <w:t>6</w:t>
            </w:r>
            <w:r w:rsidRPr="002B2BAE">
              <w:t xml:space="preserve"> that have been approved under delegated authority by the Director of Finance.</w:t>
            </w:r>
          </w:p>
          <w:p w:rsidR="00342FA2" w:rsidRPr="006F766E" w:rsidRDefault="00342FA2" w:rsidP="00AA3B74">
            <w:pPr>
              <w:pStyle w:val="ListParagraph"/>
              <w:ind w:left="1080"/>
              <w:jc w:val="both"/>
              <w:rPr>
                <w:rFonts w:cs="Arial"/>
                <w:szCs w:val="24"/>
                <w:highlight w:val="yellow"/>
              </w:rPr>
            </w:pPr>
          </w:p>
          <w:p w:rsidR="00457774" w:rsidRDefault="00457774" w:rsidP="00AA3B74">
            <w:pPr>
              <w:pStyle w:val="ListParagraph"/>
              <w:numPr>
                <w:ilvl w:val="0"/>
                <w:numId w:val="3"/>
              </w:numPr>
              <w:jc w:val="both"/>
              <w:rPr>
                <w:rFonts w:cs="Arial"/>
                <w:szCs w:val="24"/>
              </w:rPr>
            </w:pPr>
            <w:r w:rsidRPr="002B2BAE">
              <w:rPr>
                <w:rFonts w:cs="Arial"/>
                <w:szCs w:val="24"/>
              </w:rPr>
              <w:t xml:space="preserve">That Cabinet notes the timetable for </w:t>
            </w:r>
            <w:r w:rsidR="006D7003">
              <w:rPr>
                <w:rFonts w:cs="Arial"/>
                <w:szCs w:val="24"/>
              </w:rPr>
              <w:t xml:space="preserve">preparation of </w:t>
            </w:r>
            <w:r w:rsidR="002E3A0E">
              <w:rPr>
                <w:rFonts w:cs="Arial"/>
                <w:szCs w:val="24"/>
              </w:rPr>
              <w:t>the</w:t>
            </w:r>
            <w:r w:rsidR="006D7003">
              <w:rPr>
                <w:rFonts w:cs="Arial"/>
                <w:szCs w:val="24"/>
              </w:rPr>
              <w:t xml:space="preserve"> </w:t>
            </w:r>
            <w:r w:rsidR="002E3A0E">
              <w:rPr>
                <w:rFonts w:cs="Arial"/>
                <w:szCs w:val="24"/>
              </w:rPr>
              <w:t>S</w:t>
            </w:r>
            <w:r w:rsidR="006D7003">
              <w:rPr>
                <w:rFonts w:cs="Arial"/>
                <w:szCs w:val="24"/>
              </w:rPr>
              <w:t xml:space="preserve">tatement of </w:t>
            </w:r>
            <w:r w:rsidR="002E3A0E">
              <w:rPr>
                <w:rFonts w:cs="Arial"/>
                <w:szCs w:val="24"/>
              </w:rPr>
              <w:t>A</w:t>
            </w:r>
            <w:r w:rsidR="006D7003">
              <w:rPr>
                <w:rFonts w:cs="Arial"/>
                <w:szCs w:val="24"/>
              </w:rPr>
              <w:t>ccount</w:t>
            </w:r>
            <w:r w:rsidR="002E3A0E">
              <w:rPr>
                <w:rFonts w:cs="Arial"/>
                <w:szCs w:val="24"/>
              </w:rPr>
              <w:t>s, Pension Fund Account and External Audit Review as</w:t>
            </w:r>
            <w:r w:rsidRPr="002B2BAE">
              <w:rPr>
                <w:rFonts w:cs="Arial"/>
                <w:szCs w:val="24"/>
              </w:rPr>
              <w:t xml:space="preserve"> </w:t>
            </w:r>
            <w:r w:rsidR="002E3A0E">
              <w:rPr>
                <w:rFonts w:cs="Arial"/>
                <w:szCs w:val="24"/>
              </w:rPr>
              <w:t>out</w:t>
            </w:r>
            <w:r w:rsidRPr="002B2BAE">
              <w:rPr>
                <w:rFonts w:cs="Arial"/>
                <w:szCs w:val="24"/>
              </w:rPr>
              <w:t>lined in paragraph</w:t>
            </w:r>
            <w:r w:rsidR="005104A9" w:rsidRPr="002B2BAE">
              <w:rPr>
                <w:rFonts w:cs="Arial"/>
                <w:szCs w:val="24"/>
              </w:rPr>
              <w:t>s</w:t>
            </w:r>
            <w:r w:rsidR="002E3A0E">
              <w:rPr>
                <w:rFonts w:cs="Arial"/>
                <w:szCs w:val="24"/>
              </w:rPr>
              <w:t xml:space="preserve"> </w:t>
            </w:r>
            <w:r w:rsidR="00B54A4A">
              <w:rPr>
                <w:rFonts w:cs="Arial"/>
                <w:szCs w:val="24"/>
              </w:rPr>
              <w:t>4.1</w:t>
            </w:r>
            <w:r w:rsidR="001916C3">
              <w:rPr>
                <w:rFonts w:cs="Arial"/>
                <w:szCs w:val="24"/>
              </w:rPr>
              <w:t>.</w:t>
            </w:r>
          </w:p>
          <w:p w:rsidR="0042758F" w:rsidRPr="002E3A0E" w:rsidRDefault="0042758F" w:rsidP="004E7384">
            <w:pPr>
              <w:pStyle w:val="ListParagraph"/>
              <w:rPr>
                <w:rFonts w:cs="Arial"/>
                <w:szCs w:val="24"/>
              </w:rPr>
            </w:pPr>
          </w:p>
          <w:p w:rsidR="00696FC4" w:rsidRPr="0042758F" w:rsidRDefault="0042758F" w:rsidP="004E7384">
            <w:pPr>
              <w:pStyle w:val="ListParagraph"/>
              <w:ind w:left="1080" w:right="-480"/>
              <w:rPr>
                <w:rFonts w:cs="Arial"/>
                <w:color w:val="FF0000"/>
                <w:szCs w:val="24"/>
                <w:highlight w:val="yellow"/>
              </w:rPr>
            </w:pPr>
            <w:r w:rsidRPr="0042758F">
              <w:rPr>
                <w:rFonts w:cs="Arial"/>
                <w:szCs w:val="24"/>
              </w:rPr>
              <w:t xml:space="preserve"> </w:t>
            </w:r>
            <w:r w:rsidR="00591C57" w:rsidRPr="0042758F">
              <w:rPr>
                <w:rFonts w:cs="Arial"/>
                <w:szCs w:val="24"/>
              </w:rPr>
              <w:t xml:space="preserve"> </w:t>
            </w:r>
          </w:p>
          <w:p w:rsidR="00457774" w:rsidRPr="00944147" w:rsidRDefault="00457774" w:rsidP="00457774">
            <w:pPr>
              <w:pStyle w:val="BodyText3"/>
              <w:jc w:val="left"/>
              <w:rPr>
                <w:b/>
                <w:bCs/>
                <w:u w:val="single"/>
              </w:rPr>
            </w:pPr>
            <w:r w:rsidRPr="00944147">
              <w:rPr>
                <w:b/>
                <w:bCs/>
                <w:u w:val="single"/>
              </w:rPr>
              <w:t>Reason (for recommendation)</w:t>
            </w:r>
          </w:p>
          <w:p w:rsidR="00457774" w:rsidRPr="006F766E" w:rsidRDefault="00457774" w:rsidP="00457774">
            <w:pPr>
              <w:ind w:right="-480"/>
              <w:rPr>
                <w:rFonts w:cs="Arial"/>
                <w:color w:val="FF0000"/>
                <w:szCs w:val="24"/>
                <w:highlight w:val="yellow"/>
              </w:rPr>
            </w:pPr>
            <w:r w:rsidRPr="00944147">
              <w:rPr>
                <w:rFonts w:cs="Arial"/>
              </w:rPr>
              <w:t>To report the financial position as at 31 March 201</w:t>
            </w:r>
            <w:r w:rsidR="00E44C47">
              <w:rPr>
                <w:rFonts w:cs="Arial"/>
              </w:rPr>
              <w:t>8</w:t>
            </w:r>
          </w:p>
        </w:tc>
      </w:tr>
    </w:tbl>
    <w:p w:rsidR="00484862" w:rsidRDefault="00484862" w:rsidP="00484862"/>
    <w:p w:rsidR="00696FC4" w:rsidRDefault="00696FC4">
      <w:pPr>
        <w:pStyle w:val="Heading1"/>
      </w:pPr>
      <w:r>
        <w:t>Section 2 – Report</w:t>
      </w:r>
    </w:p>
    <w:p w:rsidR="00696FC4" w:rsidRDefault="00696FC4">
      <w:pPr>
        <w:rPr>
          <w:rFonts w:cs="Arial"/>
        </w:rPr>
      </w:pPr>
    </w:p>
    <w:p w:rsidR="00DD7468" w:rsidRDefault="00DD7468" w:rsidP="00AA3B74">
      <w:pPr>
        <w:pStyle w:val="ListParagraph"/>
        <w:numPr>
          <w:ilvl w:val="0"/>
          <w:numId w:val="13"/>
        </w:numPr>
        <w:ind w:left="284" w:hanging="568"/>
        <w:rPr>
          <w:rFonts w:cs="Arial"/>
          <w:b/>
        </w:rPr>
      </w:pPr>
      <w:r w:rsidRPr="00DD7468">
        <w:rPr>
          <w:rFonts w:cs="Arial"/>
          <w:b/>
        </w:rPr>
        <w:t>EXECUTIVE SUMMARY</w:t>
      </w:r>
    </w:p>
    <w:p w:rsidR="00DD7468" w:rsidRPr="00DD7468" w:rsidRDefault="00DD7468" w:rsidP="00AA3B74">
      <w:pPr>
        <w:pStyle w:val="ListParagraph"/>
        <w:ind w:left="360"/>
        <w:rPr>
          <w:rFonts w:cs="Arial"/>
          <w:b/>
        </w:rPr>
      </w:pPr>
    </w:p>
    <w:p w:rsidR="00DD7468" w:rsidRDefault="00DD7468" w:rsidP="00AA3B74">
      <w:pPr>
        <w:pStyle w:val="ListParagraph"/>
        <w:numPr>
          <w:ilvl w:val="0"/>
          <w:numId w:val="13"/>
        </w:numPr>
        <w:ind w:left="567" w:right="306" w:hanging="567"/>
        <w:jc w:val="both"/>
        <w:rPr>
          <w:rFonts w:cs="Arial"/>
        </w:rPr>
      </w:pPr>
      <w:r w:rsidRPr="00EF414A">
        <w:rPr>
          <w:rFonts w:cs="Arial"/>
        </w:rPr>
        <w:t>The revenue outturn position f</w:t>
      </w:r>
      <w:r>
        <w:rPr>
          <w:rFonts w:cs="Arial"/>
        </w:rPr>
        <w:t>or</w:t>
      </w:r>
      <w:r w:rsidRPr="00EF414A">
        <w:rPr>
          <w:rFonts w:cs="Arial"/>
        </w:rPr>
        <w:t xml:space="preserve"> the Council</w:t>
      </w:r>
      <w:r>
        <w:rPr>
          <w:rFonts w:cs="Arial"/>
        </w:rPr>
        <w:t>’s General Fund</w:t>
      </w:r>
      <w:r w:rsidRPr="00EF414A">
        <w:rPr>
          <w:rFonts w:cs="Arial"/>
        </w:rPr>
        <w:t xml:space="preserve"> at the end of the financial year 201</w:t>
      </w:r>
      <w:r w:rsidRPr="006F766E">
        <w:rPr>
          <w:rFonts w:cs="Arial"/>
        </w:rPr>
        <w:t>7</w:t>
      </w:r>
      <w:r>
        <w:rPr>
          <w:rFonts w:cs="Arial"/>
        </w:rPr>
        <w:t>/18</w:t>
      </w:r>
      <w:r w:rsidRPr="00EF414A">
        <w:rPr>
          <w:rFonts w:cs="Arial"/>
        </w:rPr>
        <w:t xml:space="preserve"> year show</w:t>
      </w:r>
      <w:r>
        <w:rPr>
          <w:rFonts w:cs="Arial"/>
        </w:rPr>
        <w:t>s</w:t>
      </w:r>
      <w:r w:rsidRPr="00EF414A">
        <w:rPr>
          <w:rFonts w:cs="Arial"/>
        </w:rPr>
        <w:t xml:space="preserve"> a balanced position </w:t>
      </w:r>
      <w:r>
        <w:rPr>
          <w:rFonts w:cs="Arial"/>
        </w:rPr>
        <w:t>after</w:t>
      </w:r>
      <w:r w:rsidRPr="00EF414A">
        <w:rPr>
          <w:rFonts w:cs="Arial"/>
        </w:rPr>
        <w:t xml:space="preserve"> transfers to and from reserves.</w:t>
      </w:r>
      <w:r w:rsidRPr="006F766E">
        <w:rPr>
          <w:rFonts w:cs="Arial"/>
        </w:rPr>
        <w:t xml:space="preserve"> </w:t>
      </w:r>
      <w:r>
        <w:rPr>
          <w:rFonts w:cs="Arial"/>
        </w:rPr>
        <w:t>The outturn position is summarised below:</w:t>
      </w:r>
    </w:p>
    <w:p w:rsidR="00273D3A" w:rsidRDefault="00E637E6" w:rsidP="00AA3B74">
      <w:pPr>
        <w:ind w:left="6480" w:right="306" w:firstLine="720"/>
        <w:jc w:val="both"/>
        <w:rPr>
          <w:rFonts w:cs="Arial"/>
        </w:rPr>
      </w:pPr>
      <w:r w:rsidRPr="006F766E">
        <w:rPr>
          <w:rFonts w:cs="Arial"/>
        </w:rPr>
        <w:t xml:space="preserve">  </w:t>
      </w:r>
      <w:r w:rsidR="00DD7468">
        <w:rPr>
          <w:rFonts w:cs="Arial"/>
        </w:rPr>
        <w:tab/>
        <w:t xml:space="preserve">  </w:t>
      </w:r>
      <w:r w:rsidRPr="006F766E">
        <w:rPr>
          <w:rFonts w:cs="Arial"/>
        </w:rPr>
        <w:t xml:space="preserve">  £m</w:t>
      </w:r>
    </w:p>
    <w:p w:rsidR="00273D3A" w:rsidRPr="00A330AA" w:rsidRDefault="00273D3A" w:rsidP="00AA3B74">
      <w:pPr>
        <w:pStyle w:val="ListParagraph"/>
        <w:numPr>
          <w:ilvl w:val="1"/>
          <w:numId w:val="59"/>
        </w:numPr>
        <w:ind w:left="709" w:right="306" w:firstLine="0"/>
        <w:jc w:val="both"/>
        <w:rPr>
          <w:rFonts w:cs="Arial"/>
        </w:rPr>
      </w:pPr>
      <w:r w:rsidRPr="00597208">
        <w:rPr>
          <w:rFonts w:cs="Arial"/>
        </w:rPr>
        <w:t>Overspend on Directorates</w:t>
      </w:r>
      <w:r w:rsidRPr="00597208">
        <w:rPr>
          <w:rFonts w:cs="Arial"/>
        </w:rPr>
        <w:tab/>
      </w:r>
      <w:r w:rsidRPr="00597208">
        <w:rPr>
          <w:rFonts w:cs="Arial"/>
        </w:rPr>
        <w:tab/>
      </w:r>
      <w:r w:rsidRPr="00597208">
        <w:rPr>
          <w:rFonts w:cs="Arial"/>
        </w:rPr>
        <w:tab/>
      </w:r>
      <w:r w:rsidR="006A69AA">
        <w:rPr>
          <w:rFonts w:cs="Arial"/>
        </w:rPr>
        <w:t xml:space="preserve">             </w:t>
      </w:r>
      <w:r w:rsidR="002266F5">
        <w:rPr>
          <w:rFonts w:cs="Arial"/>
        </w:rPr>
        <w:tab/>
      </w:r>
      <w:r w:rsidR="002266F5">
        <w:rPr>
          <w:rFonts w:cs="Arial"/>
        </w:rPr>
        <w:tab/>
        <w:t xml:space="preserve">  </w:t>
      </w:r>
      <w:r w:rsidRPr="00A330AA">
        <w:rPr>
          <w:rFonts w:cs="Arial"/>
        </w:rPr>
        <w:t>4.278</w:t>
      </w:r>
    </w:p>
    <w:p w:rsidR="00E637E6" w:rsidRPr="006F766E" w:rsidRDefault="00E637E6" w:rsidP="00AA3B74">
      <w:pPr>
        <w:pStyle w:val="ListParagraph"/>
        <w:numPr>
          <w:ilvl w:val="0"/>
          <w:numId w:val="59"/>
        </w:numPr>
        <w:ind w:right="306" w:hanging="11"/>
        <w:jc w:val="both"/>
        <w:rPr>
          <w:rFonts w:cs="Arial"/>
        </w:rPr>
      </w:pPr>
      <w:r w:rsidRPr="006F766E">
        <w:rPr>
          <w:rFonts w:cs="Arial"/>
        </w:rPr>
        <w:t>Corporate Items</w:t>
      </w:r>
      <w:r w:rsidR="006D2FE9">
        <w:rPr>
          <w:rFonts w:cs="Arial"/>
        </w:rPr>
        <w:t xml:space="preserve"> </w:t>
      </w:r>
      <w:r w:rsidR="006D2FE9">
        <w:rPr>
          <w:rFonts w:cs="Arial"/>
        </w:rPr>
        <w:tab/>
      </w:r>
      <w:r w:rsidR="006D2FE9">
        <w:rPr>
          <w:rFonts w:cs="Arial"/>
        </w:rPr>
        <w:tab/>
      </w:r>
      <w:r w:rsidRPr="006F766E">
        <w:rPr>
          <w:rFonts w:cs="Arial"/>
        </w:rPr>
        <w:tab/>
        <w:t xml:space="preserve">       </w:t>
      </w:r>
      <w:r w:rsidRPr="006F766E">
        <w:rPr>
          <w:rFonts w:cs="Arial"/>
        </w:rPr>
        <w:tab/>
      </w:r>
      <w:r w:rsidRPr="006F766E">
        <w:rPr>
          <w:rFonts w:cs="Arial"/>
        </w:rPr>
        <w:tab/>
      </w:r>
      <w:r w:rsidR="002266F5">
        <w:rPr>
          <w:rFonts w:cs="Arial"/>
        </w:rPr>
        <w:tab/>
      </w:r>
      <w:r w:rsidR="002266F5">
        <w:rPr>
          <w:rFonts w:cs="Arial"/>
        </w:rPr>
        <w:tab/>
      </w:r>
      <w:r w:rsidRPr="006F766E">
        <w:rPr>
          <w:rFonts w:cs="Arial"/>
        </w:rPr>
        <w:t xml:space="preserve"> </w:t>
      </w:r>
      <w:r w:rsidR="002266F5">
        <w:rPr>
          <w:rFonts w:cs="Arial"/>
        </w:rPr>
        <w:t xml:space="preserve"> </w:t>
      </w:r>
      <w:r w:rsidRPr="006F766E">
        <w:rPr>
          <w:rFonts w:cs="Arial"/>
        </w:rPr>
        <w:t>(</w:t>
      </w:r>
      <w:r w:rsidR="006A69AA">
        <w:rPr>
          <w:rFonts w:cs="Arial"/>
        </w:rPr>
        <w:t>2</w:t>
      </w:r>
      <w:r w:rsidR="006D2FE9">
        <w:rPr>
          <w:rFonts w:cs="Arial"/>
        </w:rPr>
        <w:t>.325</w:t>
      </w:r>
      <w:r w:rsidR="006A69AA">
        <w:rPr>
          <w:rFonts w:cs="Arial"/>
        </w:rPr>
        <w:t>)</w:t>
      </w:r>
    </w:p>
    <w:p w:rsidR="00E637E6" w:rsidRPr="006F766E" w:rsidRDefault="00596E6C" w:rsidP="00AA3B74">
      <w:pPr>
        <w:pStyle w:val="ListParagraph"/>
        <w:numPr>
          <w:ilvl w:val="0"/>
          <w:numId w:val="59"/>
        </w:numPr>
        <w:ind w:right="306" w:hanging="11"/>
        <w:jc w:val="both"/>
        <w:rPr>
          <w:rFonts w:cs="Arial"/>
        </w:rPr>
      </w:pPr>
      <w:r>
        <w:rPr>
          <w:rFonts w:cs="Arial"/>
        </w:rPr>
        <w:t xml:space="preserve">Corporate </w:t>
      </w:r>
      <w:r w:rsidR="00E637E6" w:rsidRPr="006F766E">
        <w:rPr>
          <w:rFonts w:cs="Arial"/>
        </w:rPr>
        <w:t>Contingency</w:t>
      </w:r>
      <w:r w:rsidR="00E637E6" w:rsidRPr="006F766E">
        <w:rPr>
          <w:rFonts w:cs="Arial"/>
        </w:rPr>
        <w:tab/>
      </w:r>
      <w:r w:rsidR="00E637E6" w:rsidRPr="006F766E">
        <w:rPr>
          <w:rFonts w:cs="Arial"/>
        </w:rPr>
        <w:tab/>
        <w:t xml:space="preserve">       </w:t>
      </w:r>
      <w:r w:rsidR="00E637E6" w:rsidRPr="006F766E">
        <w:rPr>
          <w:rFonts w:cs="Arial"/>
        </w:rPr>
        <w:tab/>
      </w:r>
      <w:r w:rsidR="00E637E6" w:rsidRPr="006F766E">
        <w:rPr>
          <w:rFonts w:cs="Arial"/>
        </w:rPr>
        <w:tab/>
      </w:r>
      <w:r w:rsidR="002266F5">
        <w:rPr>
          <w:rFonts w:cs="Arial"/>
        </w:rPr>
        <w:tab/>
      </w:r>
      <w:r w:rsidR="002266F5">
        <w:rPr>
          <w:rFonts w:cs="Arial"/>
        </w:rPr>
        <w:tab/>
      </w:r>
      <w:r w:rsidR="00E637E6" w:rsidRPr="006F766E">
        <w:rPr>
          <w:rFonts w:cs="Arial"/>
        </w:rPr>
        <w:t xml:space="preserve"> </w:t>
      </w:r>
      <w:r w:rsidR="002266F5">
        <w:rPr>
          <w:rFonts w:cs="Arial"/>
        </w:rPr>
        <w:t xml:space="preserve"> </w:t>
      </w:r>
      <w:r w:rsidR="00E637E6" w:rsidRPr="006F766E">
        <w:rPr>
          <w:rFonts w:cs="Arial"/>
        </w:rPr>
        <w:t>(</w:t>
      </w:r>
      <w:r w:rsidR="00273D3A">
        <w:rPr>
          <w:rFonts w:cs="Arial"/>
        </w:rPr>
        <w:t>0.</w:t>
      </w:r>
      <w:r>
        <w:rPr>
          <w:rFonts w:cs="Arial"/>
        </w:rPr>
        <w:t>274</w:t>
      </w:r>
      <w:r w:rsidR="00E637E6" w:rsidRPr="006F766E">
        <w:rPr>
          <w:rFonts w:cs="Arial"/>
        </w:rPr>
        <w:t>)</w:t>
      </w:r>
    </w:p>
    <w:p w:rsidR="00E637E6" w:rsidRPr="006F766E" w:rsidRDefault="00596E6C" w:rsidP="00AA3B74">
      <w:pPr>
        <w:pStyle w:val="ListParagraph"/>
        <w:numPr>
          <w:ilvl w:val="0"/>
          <w:numId w:val="59"/>
        </w:numPr>
        <w:ind w:right="306" w:hanging="11"/>
        <w:jc w:val="both"/>
        <w:rPr>
          <w:rFonts w:cs="Arial"/>
        </w:rPr>
      </w:pPr>
      <w:r>
        <w:rPr>
          <w:rFonts w:cs="Arial"/>
        </w:rPr>
        <w:t>Technical and Corporate Adjustment</w:t>
      </w:r>
      <w:r w:rsidR="00E637E6" w:rsidRPr="006F766E">
        <w:rPr>
          <w:rFonts w:cs="Arial"/>
        </w:rPr>
        <w:t xml:space="preserve"> </w:t>
      </w:r>
      <w:r w:rsidR="00E637E6" w:rsidRPr="006F766E">
        <w:rPr>
          <w:rFonts w:cs="Arial"/>
        </w:rPr>
        <w:tab/>
        <w:t xml:space="preserve">        </w:t>
      </w:r>
      <w:r w:rsidR="00E637E6" w:rsidRPr="006F766E">
        <w:rPr>
          <w:rFonts w:cs="Arial"/>
        </w:rPr>
        <w:tab/>
        <w:t xml:space="preserve"> </w:t>
      </w:r>
      <w:r w:rsidR="002266F5">
        <w:rPr>
          <w:rFonts w:cs="Arial"/>
        </w:rPr>
        <w:tab/>
      </w:r>
      <w:r w:rsidR="002266F5">
        <w:rPr>
          <w:rFonts w:cs="Arial"/>
        </w:rPr>
        <w:tab/>
        <w:t xml:space="preserve">  </w:t>
      </w:r>
      <w:r w:rsidR="00E637E6" w:rsidRPr="006F766E">
        <w:rPr>
          <w:rFonts w:cs="Arial"/>
        </w:rPr>
        <w:t>(</w:t>
      </w:r>
      <w:r w:rsidR="006D2FE9">
        <w:rPr>
          <w:rFonts w:cs="Arial"/>
        </w:rPr>
        <w:t>5.354</w:t>
      </w:r>
      <w:r w:rsidR="00E637E6" w:rsidRPr="006F766E">
        <w:rPr>
          <w:rFonts w:cs="Arial"/>
        </w:rPr>
        <w:t xml:space="preserve">) </w:t>
      </w:r>
    </w:p>
    <w:p w:rsidR="00E637E6" w:rsidRDefault="00273D3A" w:rsidP="00AA3B74">
      <w:pPr>
        <w:pStyle w:val="ListParagraph"/>
        <w:numPr>
          <w:ilvl w:val="0"/>
          <w:numId w:val="59"/>
        </w:numPr>
        <w:ind w:right="306" w:hanging="11"/>
        <w:jc w:val="both"/>
        <w:rPr>
          <w:rFonts w:cs="Arial"/>
        </w:rPr>
      </w:pPr>
      <w:r>
        <w:rPr>
          <w:rFonts w:cs="Arial"/>
        </w:rPr>
        <w:t xml:space="preserve">One off Income </w:t>
      </w:r>
      <w:r>
        <w:rPr>
          <w:rFonts w:cs="Arial"/>
        </w:rPr>
        <w:tab/>
      </w:r>
      <w:r w:rsidR="00E637E6" w:rsidRPr="006F766E">
        <w:rPr>
          <w:rFonts w:cs="Arial"/>
        </w:rPr>
        <w:tab/>
      </w:r>
      <w:r w:rsidR="00E637E6" w:rsidRPr="006F766E">
        <w:rPr>
          <w:rFonts w:cs="Arial"/>
        </w:rPr>
        <w:tab/>
      </w:r>
      <w:r w:rsidR="00E637E6" w:rsidRPr="006F766E">
        <w:rPr>
          <w:rFonts w:cs="Arial"/>
        </w:rPr>
        <w:tab/>
      </w:r>
      <w:r w:rsidR="00E637E6" w:rsidRPr="006F766E">
        <w:rPr>
          <w:rFonts w:cs="Arial"/>
        </w:rPr>
        <w:tab/>
      </w:r>
      <w:r w:rsidR="002266F5">
        <w:rPr>
          <w:rFonts w:cs="Arial"/>
        </w:rPr>
        <w:tab/>
      </w:r>
      <w:r w:rsidR="002266F5">
        <w:rPr>
          <w:rFonts w:cs="Arial"/>
        </w:rPr>
        <w:tab/>
      </w:r>
      <w:r w:rsidR="00E637E6" w:rsidRPr="006F766E">
        <w:rPr>
          <w:rFonts w:cs="Arial"/>
        </w:rPr>
        <w:t xml:space="preserve"> </w:t>
      </w:r>
      <w:r w:rsidR="002266F5">
        <w:rPr>
          <w:rFonts w:cs="Arial"/>
        </w:rPr>
        <w:t xml:space="preserve"> </w:t>
      </w:r>
      <w:r w:rsidR="00E637E6" w:rsidRPr="006F766E">
        <w:rPr>
          <w:rFonts w:cs="Arial"/>
        </w:rPr>
        <w:t>(</w:t>
      </w:r>
      <w:r>
        <w:rPr>
          <w:rFonts w:cs="Arial"/>
        </w:rPr>
        <w:t>0</w:t>
      </w:r>
      <w:r w:rsidR="00634AB5">
        <w:rPr>
          <w:rFonts w:cs="Arial"/>
        </w:rPr>
        <w:t>.</w:t>
      </w:r>
      <w:r>
        <w:rPr>
          <w:rFonts w:cs="Arial"/>
        </w:rPr>
        <w:t>824</w:t>
      </w:r>
      <w:r w:rsidR="00E637E6" w:rsidRPr="006F766E">
        <w:rPr>
          <w:rFonts w:cs="Arial"/>
        </w:rPr>
        <w:t>)</w:t>
      </w:r>
    </w:p>
    <w:p w:rsidR="001E20C5" w:rsidRPr="005C4C1A" w:rsidRDefault="00FF6902" w:rsidP="00AA3B74">
      <w:pPr>
        <w:pStyle w:val="ListParagraph"/>
        <w:numPr>
          <w:ilvl w:val="0"/>
          <w:numId w:val="59"/>
        </w:numPr>
        <w:ind w:right="306" w:hanging="11"/>
        <w:jc w:val="both"/>
        <w:rPr>
          <w:rFonts w:cs="Arial"/>
        </w:rPr>
      </w:pPr>
      <w:r>
        <w:rPr>
          <w:rFonts w:cs="Arial"/>
        </w:rPr>
        <w:t>Reduction in</w:t>
      </w:r>
      <w:r w:rsidR="00273D3A">
        <w:rPr>
          <w:rFonts w:cs="Arial"/>
        </w:rPr>
        <w:t xml:space="preserve"> </w:t>
      </w:r>
      <w:r w:rsidR="00634AB5" w:rsidRPr="00591A34">
        <w:rPr>
          <w:rFonts w:cs="Arial"/>
        </w:rPr>
        <w:t xml:space="preserve">Capital Receipts Flexibility            </w:t>
      </w:r>
      <w:r w:rsidR="002266F5">
        <w:rPr>
          <w:rFonts w:cs="Arial"/>
        </w:rPr>
        <w:tab/>
      </w:r>
      <w:r>
        <w:rPr>
          <w:rFonts w:cs="Arial"/>
        </w:rPr>
        <w:t xml:space="preserve">    </w:t>
      </w:r>
      <w:r>
        <w:rPr>
          <w:rFonts w:cs="Arial"/>
        </w:rPr>
        <w:tab/>
      </w:r>
      <w:r>
        <w:rPr>
          <w:rFonts w:cs="Arial"/>
        </w:rPr>
        <w:tab/>
        <w:t xml:space="preserve"> </w:t>
      </w:r>
      <w:r w:rsidR="002266F5">
        <w:rPr>
          <w:rFonts w:cs="Arial"/>
        </w:rPr>
        <w:t xml:space="preserve">  </w:t>
      </w:r>
      <w:r w:rsidR="00273D3A">
        <w:rPr>
          <w:rFonts w:cs="Arial"/>
          <w:u w:val="single"/>
        </w:rPr>
        <w:t>1.301</w:t>
      </w:r>
    </w:p>
    <w:p w:rsidR="00273D3A" w:rsidRPr="005C4C1A" w:rsidRDefault="001E20C5" w:rsidP="00AA3B74">
      <w:pPr>
        <w:pStyle w:val="ListParagraph"/>
        <w:numPr>
          <w:ilvl w:val="0"/>
          <w:numId w:val="59"/>
        </w:numPr>
        <w:ind w:right="306" w:hanging="11"/>
        <w:jc w:val="both"/>
        <w:rPr>
          <w:rFonts w:cs="Arial"/>
          <w:u w:val="single"/>
        </w:rPr>
      </w:pPr>
      <w:r w:rsidRPr="005C4C1A">
        <w:rPr>
          <w:rFonts w:cs="Arial"/>
        </w:rPr>
        <w:t>Net underspend applied as follows:</w:t>
      </w:r>
      <w:r w:rsidRPr="005C4C1A">
        <w:rPr>
          <w:rFonts w:cs="Arial"/>
        </w:rPr>
        <w:tab/>
      </w:r>
      <w:r w:rsidRPr="005C4C1A">
        <w:rPr>
          <w:rFonts w:cs="Arial"/>
        </w:rPr>
        <w:tab/>
      </w:r>
      <w:r w:rsidRPr="005C4C1A">
        <w:rPr>
          <w:rFonts w:cs="Arial"/>
        </w:rPr>
        <w:tab/>
      </w:r>
      <w:r w:rsidR="00634AB5" w:rsidRPr="005C4C1A">
        <w:rPr>
          <w:rFonts w:cs="Arial"/>
        </w:rPr>
        <w:tab/>
      </w:r>
      <w:r w:rsidRPr="005C4C1A">
        <w:rPr>
          <w:rFonts w:cs="Arial"/>
        </w:rPr>
        <w:t xml:space="preserve">  </w:t>
      </w:r>
      <w:r w:rsidR="00273D3A" w:rsidRPr="005C4C1A">
        <w:rPr>
          <w:rFonts w:cs="Arial"/>
          <w:u w:val="single"/>
        </w:rPr>
        <w:t>(3.198)</w:t>
      </w:r>
    </w:p>
    <w:p w:rsidR="002266F5" w:rsidRPr="004E7384" w:rsidRDefault="00273D3A" w:rsidP="00AA3B74">
      <w:pPr>
        <w:pStyle w:val="ListParagraph"/>
        <w:numPr>
          <w:ilvl w:val="0"/>
          <w:numId w:val="81"/>
        </w:numPr>
        <w:ind w:right="306" w:hanging="11"/>
        <w:jc w:val="both"/>
        <w:rPr>
          <w:rFonts w:cs="Arial"/>
        </w:rPr>
      </w:pPr>
      <w:r w:rsidRPr="002266F5">
        <w:rPr>
          <w:rFonts w:cs="Arial"/>
        </w:rPr>
        <w:t>Contribution to 2019/20 Budget</w:t>
      </w:r>
      <w:r w:rsidR="002266F5">
        <w:rPr>
          <w:rFonts w:cs="Arial"/>
        </w:rPr>
        <w:t xml:space="preserve"> </w:t>
      </w:r>
      <w:r w:rsidRPr="002266F5">
        <w:rPr>
          <w:rFonts w:cs="Arial"/>
        </w:rPr>
        <w:t xml:space="preserve"> </w:t>
      </w:r>
      <w:r w:rsidR="0055657D">
        <w:rPr>
          <w:rFonts w:cs="Arial"/>
        </w:rPr>
        <w:tab/>
      </w:r>
      <w:r w:rsidR="0055657D">
        <w:rPr>
          <w:rFonts w:cs="Arial"/>
        </w:rPr>
        <w:tab/>
      </w:r>
      <w:r w:rsidRPr="002266F5">
        <w:rPr>
          <w:rFonts w:cs="Arial"/>
        </w:rPr>
        <w:tab/>
      </w:r>
      <w:r w:rsidRPr="002266F5">
        <w:rPr>
          <w:rFonts w:cs="Arial"/>
        </w:rPr>
        <w:tab/>
      </w:r>
      <w:r w:rsidR="002266F5">
        <w:rPr>
          <w:rFonts w:cs="Arial"/>
        </w:rPr>
        <w:t xml:space="preserve">          </w:t>
      </w:r>
      <w:r w:rsidR="00BE6255" w:rsidRPr="002266F5">
        <w:rPr>
          <w:rFonts w:cs="Arial"/>
        </w:rPr>
        <w:t xml:space="preserve"> </w:t>
      </w:r>
      <w:r w:rsidR="002266F5">
        <w:rPr>
          <w:rFonts w:cs="Arial"/>
        </w:rPr>
        <w:t xml:space="preserve">  </w:t>
      </w:r>
      <w:r w:rsidR="001E20C5">
        <w:rPr>
          <w:rFonts w:cs="Arial"/>
        </w:rPr>
        <w:t xml:space="preserve"> </w:t>
      </w:r>
      <w:r w:rsidR="002266F5" w:rsidRPr="004E7384">
        <w:rPr>
          <w:rFonts w:cs="Arial"/>
        </w:rPr>
        <w:t>2.000</w:t>
      </w:r>
    </w:p>
    <w:p w:rsidR="00273D3A" w:rsidRPr="004E7384" w:rsidRDefault="002266F5" w:rsidP="00AA3B74">
      <w:pPr>
        <w:pStyle w:val="ListParagraph"/>
        <w:numPr>
          <w:ilvl w:val="0"/>
          <w:numId w:val="81"/>
        </w:numPr>
        <w:ind w:right="306" w:hanging="11"/>
        <w:jc w:val="both"/>
        <w:rPr>
          <w:rFonts w:cs="Arial"/>
        </w:rPr>
      </w:pPr>
      <w:r w:rsidRPr="004E7384">
        <w:rPr>
          <w:rFonts w:cs="Arial"/>
        </w:rPr>
        <w:t xml:space="preserve">Capacity to </w:t>
      </w:r>
      <w:r w:rsidR="004C3FC6">
        <w:rPr>
          <w:rFonts w:cs="Arial"/>
        </w:rPr>
        <w:t>s</w:t>
      </w:r>
      <w:r w:rsidRPr="004E7384">
        <w:rPr>
          <w:rFonts w:cs="Arial"/>
        </w:rPr>
        <w:t>upport delivery of the MTFS</w:t>
      </w:r>
      <w:r w:rsidR="00697F40">
        <w:rPr>
          <w:rFonts w:cs="Arial"/>
        </w:rPr>
        <w:tab/>
      </w:r>
      <w:r>
        <w:rPr>
          <w:rFonts w:cs="Arial"/>
        </w:rPr>
        <w:t xml:space="preserve">      </w:t>
      </w:r>
      <w:r>
        <w:rPr>
          <w:rFonts w:cs="Arial"/>
        </w:rPr>
        <w:tab/>
      </w:r>
      <w:r>
        <w:rPr>
          <w:rFonts w:cs="Arial"/>
        </w:rPr>
        <w:tab/>
        <w:t xml:space="preserve"> </w:t>
      </w:r>
      <w:r w:rsidR="001E20C5">
        <w:rPr>
          <w:rFonts w:cs="Arial"/>
        </w:rPr>
        <w:t xml:space="preserve"> </w:t>
      </w:r>
      <w:r>
        <w:rPr>
          <w:rFonts w:cs="Arial"/>
        </w:rPr>
        <w:t xml:space="preserve"> </w:t>
      </w:r>
      <w:r w:rsidRPr="004E7384">
        <w:rPr>
          <w:rFonts w:cs="Arial"/>
          <w:u w:val="single"/>
        </w:rPr>
        <w:t>1.198</w:t>
      </w:r>
      <w:r w:rsidRPr="004E7384">
        <w:rPr>
          <w:rFonts w:cs="Arial"/>
        </w:rPr>
        <w:tab/>
      </w:r>
      <w:r w:rsidR="00DD7468">
        <w:rPr>
          <w:rFonts w:cs="Arial"/>
        </w:rPr>
        <w:tab/>
      </w:r>
      <w:r w:rsidR="00DD7468">
        <w:rPr>
          <w:rFonts w:cs="Arial"/>
        </w:rPr>
        <w:tab/>
      </w:r>
      <w:r w:rsidR="00DD7468">
        <w:rPr>
          <w:rFonts w:cs="Arial"/>
        </w:rPr>
        <w:tab/>
      </w:r>
      <w:r w:rsidR="00DD7468">
        <w:rPr>
          <w:rFonts w:cs="Arial"/>
        </w:rPr>
        <w:tab/>
      </w:r>
      <w:r w:rsidR="00DD7468">
        <w:rPr>
          <w:rFonts w:cs="Arial"/>
        </w:rPr>
        <w:tab/>
      </w:r>
      <w:r w:rsidR="00DD7468">
        <w:rPr>
          <w:rFonts w:cs="Arial"/>
        </w:rPr>
        <w:tab/>
      </w:r>
      <w:r w:rsidR="00DD7468">
        <w:rPr>
          <w:rFonts w:cs="Arial"/>
        </w:rPr>
        <w:tab/>
      </w:r>
      <w:r w:rsidR="00DD7468">
        <w:rPr>
          <w:rFonts w:cs="Arial"/>
        </w:rPr>
        <w:tab/>
      </w:r>
      <w:r w:rsidR="00DD7468">
        <w:rPr>
          <w:rFonts w:cs="Arial"/>
        </w:rPr>
        <w:tab/>
        <w:t xml:space="preserve">       0</w:t>
      </w:r>
      <w:r w:rsidR="00DD7468">
        <w:rPr>
          <w:rFonts w:cs="Arial"/>
        </w:rPr>
        <w:tab/>
      </w:r>
    </w:p>
    <w:p w:rsidR="00273D3A" w:rsidRDefault="00273D3A" w:rsidP="00AA3B74">
      <w:pPr>
        <w:ind w:left="1440" w:right="306" w:firstLine="720"/>
        <w:jc w:val="both"/>
        <w:rPr>
          <w:rFonts w:cs="Arial"/>
        </w:rPr>
      </w:pPr>
      <w:r>
        <w:rPr>
          <w:rFonts w:cs="Arial"/>
        </w:rPr>
        <w:tab/>
      </w:r>
      <w:r>
        <w:rPr>
          <w:rFonts w:cs="Arial"/>
        </w:rPr>
        <w:tab/>
      </w:r>
      <w:r>
        <w:rPr>
          <w:rFonts w:cs="Arial"/>
        </w:rPr>
        <w:tab/>
        <w:t xml:space="preserve">     </w:t>
      </w:r>
      <w:r w:rsidR="002266F5">
        <w:rPr>
          <w:rFonts w:cs="Arial"/>
        </w:rPr>
        <w:tab/>
      </w:r>
      <w:r w:rsidR="002266F5">
        <w:rPr>
          <w:rFonts w:cs="Arial"/>
        </w:rPr>
        <w:tab/>
        <w:t xml:space="preserve">   </w:t>
      </w:r>
      <w:r w:rsidR="001E20C5">
        <w:rPr>
          <w:rFonts w:cs="Arial"/>
        </w:rPr>
        <w:t xml:space="preserve"> </w:t>
      </w:r>
      <w:r w:rsidR="002266F5">
        <w:rPr>
          <w:rFonts w:cs="Arial"/>
        </w:rPr>
        <w:t xml:space="preserve">  </w:t>
      </w:r>
    </w:p>
    <w:p w:rsidR="00AA6DA6" w:rsidRDefault="009A6F09" w:rsidP="006F766E">
      <w:pPr>
        <w:ind w:left="1440" w:right="304" w:firstLine="720"/>
        <w:jc w:val="both"/>
        <w:rPr>
          <w:rFonts w:cs="Arial"/>
        </w:rPr>
      </w:pPr>
      <w:r>
        <w:rPr>
          <w:rFonts w:cs="Arial"/>
        </w:rPr>
        <w:tab/>
      </w:r>
    </w:p>
    <w:p w:rsidR="00A717D7" w:rsidRPr="006F766E" w:rsidRDefault="00A717D7" w:rsidP="006F766E">
      <w:pPr>
        <w:ind w:left="1440" w:right="304" w:firstLine="720"/>
        <w:jc w:val="both"/>
        <w:rPr>
          <w:rFonts w:cs="Arial"/>
        </w:rPr>
      </w:pPr>
    </w:p>
    <w:p w:rsidR="00991001" w:rsidRPr="00AA3B74" w:rsidRDefault="000C1D45" w:rsidP="00AA3B74">
      <w:pPr>
        <w:pStyle w:val="ListParagraph"/>
        <w:numPr>
          <w:ilvl w:val="0"/>
          <w:numId w:val="13"/>
        </w:numPr>
        <w:ind w:left="567" w:hanging="567"/>
        <w:jc w:val="both"/>
        <w:rPr>
          <w:rFonts w:cs="Arial"/>
        </w:rPr>
      </w:pPr>
      <w:r>
        <w:lastRenderedPageBreak/>
        <w:t>The balanced budget position assumes a</w:t>
      </w:r>
      <w:r w:rsidR="00991001">
        <w:t xml:space="preserve"> revenue budget</w:t>
      </w:r>
      <w:r>
        <w:t xml:space="preserve"> carry forward of </w:t>
      </w:r>
      <w:r w:rsidR="00EF414A" w:rsidRPr="006F766E">
        <w:t>£</w:t>
      </w:r>
      <w:r w:rsidR="00466DF2">
        <w:t>0.</w:t>
      </w:r>
      <w:r w:rsidR="00F104BD">
        <w:t>469</w:t>
      </w:r>
      <w:r w:rsidR="00EF414A" w:rsidRPr="006F766E">
        <w:t>m</w:t>
      </w:r>
      <w:r>
        <w:t xml:space="preserve">, </w:t>
      </w:r>
      <w:r w:rsidR="00991001">
        <w:t>which</w:t>
      </w:r>
      <w:r>
        <w:t xml:space="preserve"> is added </w:t>
      </w:r>
      <w:r w:rsidR="00D45D35">
        <w:t>to reserves in 2017</w:t>
      </w:r>
      <w:r w:rsidR="00466DF2">
        <w:t>/18</w:t>
      </w:r>
      <w:r w:rsidR="00D45D35">
        <w:t xml:space="preserve"> for use in 2018</w:t>
      </w:r>
      <w:r w:rsidR="00466DF2">
        <w:t>/19</w:t>
      </w:r>
      <w:r w:rsidR="0055657D">
        <w:t>.</w:t>
      </w:r>
      <w:r w:rsidR="00C02F6B" w:rsidRPr="00EF414A">
        <w:rPr>
          <w:rFonts w:cs="Arial"/>
          <w:color w:val="FF0000"/>
        </w:rPr>
        <w:tab/>
      </w:r>
    </w:p>
    <w:p w:rsidR="005B4944" w:rsidRPr="00EF414A" w:rsidRDefault="00C02F6B" w:rsidP="00AA3B74">
      <w:pPr>
        <w:pStyle w:val="ListParagraph"/>
        <w:ind w:left="567"/>
        <w:jc w:val="both"/>
        <w:rPr>
          <w:rFonts w:cs="Arial"/>
        </w:rPr>
      </w:pPr>
      <w:r w:rsidRPr="00EF414A">
        <w:rPr>
          <w:rFonts w:cs="Arial"/>
          <w:color w:val="FF0000"/>
        </w:rPr>
        <w:tab/>
      </w:r>
      <w:r w:rsidRPr="00EF414A">
        <w:rPr>
          <w:rFonts w:cs="Arial"/>
        </w:rPr>
        <w:tab/>
      </w:r>
    </w:p>
    <w:p w:rsidR="005761F6" w:rsidRPr="00AA3B74" w:rsidRDefault="00D21A7B" w:rsidP="00AA3B74">
      <w:pPr>
        <w:pStyle w:val="ListParagraph"/>
        <w:numPr>
          <w:ilvl w:val="0"/>
          <w:numId w:val="13"/>
        </w:numPr>
        <w:spacing w:after="240"/>
        <w:ind w:left="567" w:hanging="567"/>
        <w:jc w:val="both"/>
        <w:rPr>
          <w:color w:val="FF0000"/>
          <w:szCs w:val="24"/>
        </w:rPr>
      </w:pPr>
      <w:r w:rsidRPr="00177A93">
        <w:rPr>
          <w:szCs w:val="24"/>
        </w:rPr>
        <w:t>T</w:t>
      </w:r>
      <w:r w:rsidR="00DF7D23" w:rsidRPr="00177A93">
        <w:rPr>
          <w:szCs w:val="24"/>
        </w:rPr>
        <w:t>otal</w:t>
      </w:r>
      <w:r w:rsidRPr="00177A93">
        <w:rPr>
          <w:szCs w:val="24"/>
        </w:rPr>
        <w:t xml:space="preserve"> </w:t>
      </w:r>
      <w:r w:rsidR="00DF7D23" w:rsidRPr="00177A93">
        <w:rPr>
          <w:szCs w:val="24"/>
        </w:rPr>
        <w:t xml:space="preserve">spend on the capital programme for the year </w:t>
      </w:r>
      <w:r w:rsidR="00E12326" w:rsidRPr="00177A93">
        <w:rPr>
          <w:szCs w:val="24"/>
        </w:rPr>
        <w:t>is</w:t>
      </w:r>
      <w:r w:rsidR="00DF7D23" w:rsidRPr="00177A93">
        <w:rPr>
          <w:szCs w:val="24"/>
        </w:rPr>
        <w:t xml:space="preserve"> £</w:t>
      </w:r>
      <w:r w:rsidR="00466DF2">
        <w:rPr>
          <w:szCs w:val="24"/>
        </w:rPr>
        <w:t>94.13</w:t>
      </w:r>
      <w:r w:rsidR="00A71D90">
        <w:rPr>
          <w:szCs w:val="24"/>
        </w:rPr>
        <w:t>1</w:t>
      </w:r>
      <w:r w:rsidR="00A47197" w:rsidRPr="00177A93">
        <w:rPr>
          <w:szCs w:val="24"/>
        </w:rPr>
        <w:t>m</w:t>
      </w:r>
      <w:r w:rsidR="007B4AF8" w:rsidRPr="00177A93">
        <w:rPr>
          <w:szCs w:val="24"/>
        </w:rPr>
        <w:t xml:space="preserve"> </w:t>
      </w:r>
      <w:r w:rsidR="006C3E03" w:rsidRPr="00177A93">
        <w:rPr>
          <w:szCs w:val="24"/>
        </w:rPr>
        <w:t>(</w:t>
      </w:r>
      <w:r w:rsidR="00466DF2">
        <w:rPr>
          <w:szCs w:val="24"/>
        </w:rPr>
        <w:t>47</w:t>
      </w:r>
      <w:r w:rsidR="006C3E03" w:rsidRPr="00177A93">
        <w:rPr>
          <w:szCs w:val="24"/>
        </w:rPr>
        <w:t xml:space="preserve">%) </w:t>
      </w:r>
      <w:r w:rsidR="007B4AF8" w:rsidRPr="00177A93">
        <w:rPr>
          <w:szCs w:val="24"/>
        </w:rPr>
        <w:t>against a budget of £</w:t>
      </w:r>
      <w:r w:rsidR="00466DF2">
        <w:rPr>
          <w:szCs w:val="24"/>
        </w:rPr>
        <w:t>201.252</w:t>
      </w:r>
      <w:r w:rsidR="007B4AF8" w:rsidRPr="00177A93">
        <w:rPr>
          <w:szCs w:val="24"/>
        </w:rPr>
        <w:t>m, giving a variance of £</w:t>
      </w:r>
      <w:r w:rsidR="00DB1578">
        <w:rPr>
          <w:szCs w:val="24"/>
        </w:rPr>
        <w:t>107.12</w:t>
      </w:r>
      <w:r w:rsidR="00A71D90">
        <w:rPr>
          <w:szCs w:val="24"/>
        </w:rPr>
        <w:t>1</w:t>
      </w:r>
      <w:r w:rsidR="007B4AF8" w:rsidRPr="00177A93">
        <w:rPr>
          <w:szCs w:val="24"/>
        </w:rPr>
        <w:t>m.</w:t>
      </w:r>
      <w:r w:rsidR="00DF7D23" w:rsidRPr="00177A93">
        <w:rPr>
          <w:szCs w:val="24"/>
        </w:rPr>
        <w:t xml:space="preserve"> </w:t>
      </w:r>
      <w:r w:rsidR="007D783C" w:rsidRPr="00177A93">
        <w:rPr>
          <w:szCs w:val="24"/>
        </w:rPr>
        <w:t>The variance of £</w:t>
      </w:r>
      <w:r w:rsidR="00BE6255">
        <w:rPr>
          <w:szCs w:val="24"/>
        </w:rPr>
        <w:t>107.122</w:t>
      </w:r>
      <w:r w:rsidR="007D783C" w:rsidRPr="00177A93">
        <w:rPr>
          <w:szCs w:val="24"/>
        </w:rPr>
        <w:t xml:space="preserve">m is made up of </w:t>
      </w:r>
      <w:r w:rsidR="007B4AF8" w:rsidRPr="00177A93">
        <w:rPr>
          <w:szCs w:val="24"/>
        </w:rPr>
        <w:t xml:space="preserve">total </w:t>
      </w:r>
      <w:r w:rsidR="00DD0C4A" w:rsidRPr="00177A93">
        <w:rPr>
          <w:szCs w:val="24"/>
        </w:rPr>
        <w:t xml:space="preserve">slippage of </w:t>
      </w:r>
      <w:r w:rsidR="004F1EEF" w:rsidRPr="00177A93">
        <w:rPr>
          <w:szCs w:val="24"/>
        </w:rPr>
        <w:t>£</w:t>
      </w:r>
      <w:r w:rsidR="00BE6255">
        <w:rPr>
          <w:szCs w:val="24"/>
        </w:rPr>
        <w:t>65.</w:t>
      </w:r>
      <w:r w:rsidR="00EA2145">
        <w:rPr>
          <w:szCs w:val="24"/>
        </w:rPr>
        <w:t>5</w:t>
      </w:r>
      <w:r w:rsidR="005C0FFF">
        <w:rPr>
          <w:szCs w:val="24"/>
        </w:rPr>
        <w:t>m</w:t>
      </w:r>
      <w:r w:rsidR="00BE6255">
        <w:rPr>
          <w:szCs w:val="24"/>
        </w:rPr>
        <w:t xml:space="preserve"> </w:t>
      </w:r>
      <w:r w:rsidR="007D783C" w:rsidRPr="00177A93">
        <w:rPr>
          <w:szCs w:val="24"/>
        </w:rPr>
        <w:t>which will be carried forward into 20</w:t>
      </w:r>
      <w:r w:rsidR="004F1EEF" w:rsidRPr="00177A93">
        <w:rPr>
          <w:szCs w:val="24"/>
        </w:rPr>
        <w:t>18</w:t>
      </w:r>
      <w:r w:rsidR="00BE6255">
        <w:rPr>
          <w:szCs w:val="24"/>
        </w:rPr>
        <w:t>/19</w:t>
      </w:r>
      <w:r w:rsidR="007D783C" w:rsidRPr="00177A93">
        <w:rPr>
          <w:szCs w:val="24"/>
        </w:rPr>
        <w:t xml:space="preserve"> </w:t>
      </w:r>
      <w:r w:rsidR="007B4AF8" w:rsidRPr="00177A93">
        <w:rPr>
          <w:szCs w:val="24"/>
        </w:rPr>
        <w:t>and underspends of £</w:t>
      </w:r>
      <w:r w:rsidR="00BE6255">
        <w:rPr>
          <w:szCs w:val="24"/>
        </w:rPr>
        <w:t>41.</w:t>
      </w:r>
      <w:r w:rsidR="00C14B66">
        <w:rPr>
          <w:szCs w:val="24"/>
        </w:rPr>
        <w:t>62</w:t>
      </w:r>
      <w:r w:rsidR="00A71D90">
        <w:rPr>
          <w:szCs w:val="24"/>
        </w:rPr>
        <w:t>1</w:t>
      </w:r>
      <w:r w:rsidR="007B4AF8" w:rsidRPr="00177A93">
        <w:rPr>
          <w:szCs w:val="24"/>
        </w:rPr>
        <w:t>m</w:t>
      </w:r>
      <w:r w:rsidR="008D368A">
        <w:rPr>
          <w:szCs w:val="24"/>
        </w:rPr>
        <w:t xml:space="preserve"> </w:t>
      </w:r>
      <w:r w:rsidR="004C3FC6">
        <w:rPr>
          <w:szCs w:val="24"/>
        </w:rPr>
        <w:t>which are</w:t>
      </w:r>
      <w:r w:rsidR="008D368A">
        <w:rPr>
          <w:szCs w:val="24"/>
        </w:rPr>
        <w:t xml:space="preserve"> no</w:t>
      </w:r>
      <w:r w:rsidR="00A71D90">
        <w:rPr>
          <w:szCs w:val="24"/>
        </w:rPr>
        <w:t xml:space="preserve"> </w:t>
      </w:r>
      <w:r w:rsidR="008D368A">
        <w:rPr>
          <w:szCs w:val="24"/>
        </w:rPr>
        <w:t>longer required and will be removed from the programme</w:t>
      </w:r>
      <w:r w:rsidR="007B4AF8" w:rsidRPr="006F766E">
        <w:rPr>
          <w:szCs w:val="24"/>
        </w:rPr>
        <w:t>.</w:t>
      </w:r>
      <w:r w:rsidR="007D783C" w:rsidRPr="006F766E">
        <w:rPr>
          <w:szCs w:val="24"/>
        </w:rPr>
        <w:t xml:space="preserve"> More detail is included in table, including the split between the general fund and the HRA.</w:t>
      </w:r>
      <w:r w:rsidR="00FB11AF" w:rsidRPr="006F766E">
        <w:rPr>
          <w:color w:val="7030A0"/>
          <w:szCs w:val="24"/>
        </w:rPr>
        <w:t xml:space="preserve"> </w:t>
      </w:r>
    </w:p>
    <w:p w:rsidR="00C543D6" w:rsidRPr="00AA3B74" w:rsidRDefault="00C543D6" w:rsidP="00AA3B74">
      <w:pPr>
        <w:pStyle w:val="ListParagraph"/>
        <w:rPr>
          <w:color w:val="FF0000"/>
          <w:szCs w:val="24"/>
        </w:rPr>
      </w:pPr>
    </w:p>
    <w:p w:rsidR="007B2F9A" w:rsidRPr="006F766E" w:rsidRDefault="007B2F9A">
      <w:pPr>
        <w:pStyle w:val="ListParagraph"/>
        <w:spacing w:after="240"/>
        <w:ind w:left="357"/>
        <w:jc w:val="both"/>
        <w:rPr>
          <w:color w:val="FF0000"/>
          <w:szCs w:val="24"/>
        </w:rPr>
      </w:pPr>
    </w:p>
    <w:p w:rsidR="00DD7468" w:rsidRDefault="00F92295" w:rsidP="00AA3B74">
      <w:pPr>
        <w:pStyle w:val="ListParagraph"/>
        <w:numPr>
          <w:ilvl w:val="0"/>
          <w:numId w:val="103"/>
        </w:numPr>
        <w:ind w:left="284" w:hanging="568"/>
        <w:jc w:val="both"/>
        <w:rPr>
          <w:b/>
          <w:szCs w:val="24"/>
        </w:rPr>
      </w:pPr>
      <w:r w:rsidRPr="00AA3B74">
        <w:rPr>
          <w:b/>
          <w:szCs w:val="24"/>
        </w:rPr>
        <w:t>REVENUE OUTTURN</w:t>
      </w:r>
    </w:p>
    <w:p w:rsidR="00DD7468" w:rsidRDefault="00DD7468">
      <w:pPr>
        <w:jc w:val="both"/>
        <w:rPr>
          <w:b/>
          <w:szCs w:val="24"/>
        </w:rPr>
      </w:pPr>
    </w:p>
    <w:p w:rsidR="00DD7468" w:rsidRDefault="00FF6707" w:rsidP="00AA3B74">
      <w:pPr>
        <w:pStyle w:val="ListParagraph"/>
        <w:numPr>
          <w:ilvl w:val="0"/>
          <w:numId w:val="103"/>
        </w:numPr>
        <w:ind w:left="567" w:hanging="567"/>
        <w:jc w:val="both"/>
        <w:rPr>
          <w:rFonts w:cs="Arial"/>
        </w:rPr>
      </w:pPr>
      <w:r>
        <w:rPr>
          <w:rFonts w:cs="Arial"/>
        </w:rPr>
        <w:t>T</w:t>
      </w:r>
      <w:r w:rsidR="00DD7468" w:rsidRPr="00B63933">
        <w:rPr>
          <w:rFonts w:cs="Arial"/>
        </w:rPr>
        <w:t xml:space="preserve">he Directorates are reporting a net overspend of £4.278m which is offset by (£7.476m) of under spends in corporate </w:t>
      </w:r>
      <w:r w:rsidR="00991001">
        <w:rPr>
          <w:rFonts w:cs="Arial"/>
        </w:rPr>
        <w:t>budget</w:t>
      </w:r>
      <w:r w:rsidR="00394079">
        <w:rPr>
          <w:rFonts w:cs="Arial"/>
        </w:rPr>
        <w:t>s</w:t>
      </w:r>
      <w:r w:rsidR="00991001">
        <w:rPr>
          <w:rFonts w:cs="Arial"/>
        </w:rPr>
        <w:t xml:space="preserve"> and additional </w:t>
      </w:r>
      <w:r w:rsidR="00DD7468" w:rsidRPr="00B63933">
        <w:rPr>
          <w:rFonts w:cs="Arial"/>
        </w:rPr>
        <w:t>income</w:t>
      </w:r>
      <w:r w:rsidR="00991001">
        <w:rPr>
          <w:rFonts w:cs="Arial"/>
        </w:rPr>
        <w:t>.</w:t>
      </w:r>
      <w:r w:rsidR="00DD7468" w:rsidRPr="00B63933">
        <w:rPr>
          <w:rFonts w:cs="Arial"/>
        </w:rPr>
        <w:t xml:space="preserve"> This leaves a net underspend of £3.198m which will be transferred into the </w:t>
      </w:r>
      <w:r w:rsidR="003812C7">
        <w:rPr>
          <w:rFonts w:cs="Arial"/>
        </w:rPr>
        <w:t xml:space="preserve">Budget Planning Contingency and </w:t>
      </w:r>
      <w:r w:rsidR="00DD7468" w:rsidRPr="00B63933">
        <w:rPr>
          <w:rFonts w:cs="Arial"/>
        </w:rPr>
        <w:t>earmarked as follows:</w:t>
      </w:r>
    </w:p>
    <w:p w:rsidR="00DD7468" w:rsidRDefault="00DD7468" w:rsidP="00AA3B74">
      <w:pPr>
        <w:pStyle w:val="ListParagraph"/>
        <w:ind w:left="567"/>
        <w:jc w:val="both"/>
        <w:rPr>
          <w:rFonts w:cs="Arial"/>
        </w:rPr>
      </w:pPr>
    </w:p>
    <w:p w:rsidR="00DD7468" w:rsidRDefault="00DD7468">
      <w:pPr>
        <w:pStyle w:val="ListParagraph"/>
        <w:numPr>
          <w:ilvl w:val="0"/>
          <w:numId w:val="97"/>
        </w:numPr>
        <w:ind w:right="304"/>
        <w:jc w:val="both"/>
        <w:rPr>
          <w:rFonts w:cs="Arial"/>
        </w:rPr>
      </w:pPr>
      <w:r>
        <w:rPr>
          <w:rFonts w:cs="Arial"/>
        </w:rPr>
        <w:t>Contribution towards 2019/20 budget £2m</w:t>
      </w:r>
    </w:p>
    <w:p w:rsidR="00DD7468" w:rsidRPr="00AA3B74" w:rsidRDefault="00DD7468" w:rsidP="00AA3B74">
      <w:pPr>
        <w:pStyle w:val="ListParagraph"/>
        <w:numPr>
          <w:ilvl w:val="0"/>
          <w:numId w:val="97"/>
        </w:numPr>
        <w:jc w:val="both"/>
        <w:rPr>
          <w:b/>
          <w:szCs w:val="24"/>
        </w:rPr>
      </w:pPr>
      <w:r>
        <w:rPr>
          <w:rFonts w:cs="Arial"/>
        </w:rPr>
        <w:t>Capacity to support delivery of MTFS £1.198m</w:t>
      </w:r>
    </w:p>
    <w:p w:rsidR="00DD7468" w:rsidRPr="00AA3B74" w:rsidRDefault="00DD7468" w:rsidP="00AA3B74">
      <w:pPr>
        <w:pStyle w:val="ListParagraph"/>
        <w:ind w:left="1148"/>
        <w:jc w:val="both"/>
        <w:rPr>
          <w:b/>
          <w:szCs w:val="24"/>
        </w:rPr>
      </w:pPr>
    </w:p>
    <w:p w:rsidR="004721C0" w:rsidRPr="005C4C1A" w:rsidRDefault="001964C4">
      <w:pPr>
        <w:ind w:right="304"/>
        <w:jc w:val="both"/>
        <w:rPr>
          <w:rFonts w:cs="Arial"/>
        </w:rPr>
      </w:pPr>
      <w:r w:rsidRPr="00B63509">
        <w:rPr>
          <w:rFonts w:cs="Arial"/>
        </w:rPr>
        <w:t xml:space="preserve"> </w:t>
      </w:r>
      <w:r w:rsidR="004721C0" w:rsidRPr="005C4C1A">
        <w:rPr>
          <w:rFonts w:cs="Arial"/>
        </w:rPr>
        <w:t xml:space="preserve">Table </w:t>
      </w:r>
      <w:r w:rsidR="00B15F3E" w:rsidRPr="005C4C1A">
        <w:rPr>
          <w:rFonts w:cs="Arial"/>
        </w:rPr>
        <w:t xml:space="preserve">1 </w:t>
      </w:r>
      <w:r w:rsidR="00B15F3E">
        <w:rPr>
          <w:rFonts w:cs="Arial"/>
        </w:rPr>
        <w:t>below</w:t>
      </w:r>
      <w:r w:rsidR="00C76047">
        <w:rPr>
          <w:rFonts w:cs="Arial"/>
        </w:rPr>
        <w:t xml:space="preserve"> </w:t>
      </w:r>
      <w:r w:rsidR="004721C0" w:rsidRPr="00B63509">
        <w:rPr>
          <w:rFonts w:cs="Arial"/>
        </w:rPr>
        <w:t xml:space="preserve">sets out the </w:t>
      </w:r>
      <w:r w:rsidR="00394079">
        <w:rPr>
          <w:rFonts w:cs="Arial"/>
        </w:rPr>
        <w:t>Summary</w:t>
      </w:r>
      <w:r w:rsidR="00FF6707">
        <w:rPr>
          <w:rFonts w:cs="Arial"/>
        </w:rPr>
        <w:t xml:space="preserve"> </w:t>
      </w:r>
      <w:r w:rsidR="004721C0" w:rsidRPr="00B63509">
        <w:rPr>
          <w:rFonts w:cs="Arial"/>
        </w:rPr>
        <w:t>Revenue Outturn position</w:t>
      </w:r>
      <w:r w:rsidR="00FF6707">
        <w:rPr>
          <w:rFonts w:cs="Arial"/>
        </w:rPr>
        <w:t>:</w:t>
      </w:r>
    </w:p>
    <w:p w:rsidR="004721C0" w:rsidRDefault="004721C0" w:rsidP="00AA3B74">
      <w:pPr>
        <w:jc w:val="both"/>
        <w:rPr>
          <w:rFonts w:cs="Arial"/>
        </w:rPr>
      </w:pPr>
    </w:p>
    <w:p w:rsidR="00696FC4" w:rsidRPr="00AA3B74" w:rsidRDefault="00BE6255" w:rsidP="00AA3B74">
      <w:pPr>
        <w:jc w:val="both"/>
        <w:rPr>
          <w:rFonts w:cs="Arial"/>
          <w:b/>
          <w:u w:val="single"/>
        </w:rPr>
      </w:pPr>
      <w:r w:rsidRPr="00AA3B74">
        <w:rPr>
          <w:rFonts w:cs="Arial"/>
          <w:b/>
          <w:u w:val="single"/>
        </w:rPr>
        <w:t>T</w:t>
      </w:r>
      <w:r w:rsidR="00696FC4" w:rsidRPr="00AA3B74">
        <w:rPr>
          <w:rFonts w:cs="Arial"/>
          <w:b/>
          <w:u w:val="single"/>
        </w:rPr>
        <w:t>able 1</w:t>
      </w:r>
      <w:r w:rsidR="004721C0" w:rsidRPr="00AA3B74">
        <w:rPr>
          <w:rFonts w:cs="Arial"/>
          <w:b/>
          <w:u w:val="single"/>
        </w:rPr>
        <w:t>:</w:t>
      </w:r>
      <w:r w:rsidR="00696FC4" w:rsidRPr="00AA3B74">
        <w:rPr>
          <w:rFonts w:cs="Arial"/>
          <w:b/>
          <w:u w:val="single"/>
        </w:rPr>
        <w:t xml:space="preserve"> </w:t>
      </w:r>
      <w:r w:rsidR="00F0007A" w:rsidRPr="00AA3B74">
        <w:rPr>
          <w:rFonts w:cs="Arial"/>
          <w:b/>
          <w:u w:val="single"/>
        </w:rPr>
        <w:t>Revenue Outturn 20</w:t>
      </w:r>
      <w:r w:rsidR="00E54B56" w:rsidRPr="00AA3B74">
        <w:rPr>
          <w:rFonts w:cs="Arial"/>
          <w:b/>
          <w:u w:val="single"/>
        </w:rPr>
        <w:t>17</w:t>
      </w:r>
      <w:r w:rsidR="009A14CB" w:rsidRPr="00AA3B74">
        <w:rPr>
          <w:rFonts w:cs="Arial"/>
          <w:b/>
          <w:u w:val="single"/>
        </w:rPr>
        <w:t>/18</w:t>
      </w:r>
      <w:r w:rsidR="00F0007A" w:rsidRPr="00AA3B74">
        <w:rPr>
          <w:rFonts w:cs="Arial"/>
          <w:b/>
          <w:u w:val="single"/>
        </w:rPr>
        <w:t xml:space="preserve"> Summary</w:t>
      </w:r>
    </w:p>
    <w:p w:rsidR="00177A93" w:rsidRDefault="00394079" w:rsidP="00AA3B74">
      <w:pPr>
        <w:jc w:val="both"/>
        <w:rPr>
          <w:rFonts w:cs="Arial"/>
          <w:b/>
        </w:rPr>
      </w:pPr>
      <w:r w:rsidRPr="00394079">
        <w:rPr>
          <w:noProof/>
          <w:lang w:eastAsia="en-GB"/>
        </w:rPr>
        <w:drawing>
          <wp:inline distT="0" distB="0" distL="0" distR="0" wp14:anchorId="15402754" wp14:editId="5931707F">
            <wp:extent cx="6118130" cy="4832431"/>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035" cy="4835515"/>
                    </a:xfrm>
                    <a:prstGeom prst="rect">
                      <a:avLst/>
                    </a:prstGeom>
                    <a:noFill/>
                    <a:ln>
                      <a:noFill/>
                    </a:ln>
                  </pic:spPr>
                </pic:pic>
              </a:graphicData>
            </a:graphic>
          </wp:inline>
        </w:drawing>
      </w:r>
    </w:p>
    <w:p w:rsidR="00E44C47" w:rsidRDefault="00E44C47" w:rsidP="00AA3B74">
      <w:pPr>
        <w:jc w:val="both"/>
        <w:rPr>
          <w:rFonts w:cs="Arial"/>
          <w:b/>
        </w:rPr>
      </w:pPr>
    </w:p>
    <w:p w:rsidR="0032045E" w:rsidRDefault="0032045E" w:rsidP="00AA3B74">
      <w:pPr>
        <w:jc w:val="both"/>
        <w:rPr>
          <w:rFonts w:cs="Arial"/>
          <w:b/>
        </w:rPr>
      </w:pPr>
    </w:p>
    <w:p w:rsidR="007E52B6" w:rsidRDefault="0046757C" w:rsidP="00AA3B74">
      <w:pPr>
        <w:jc w:val="both"/>
        <w:rPr>
          <w:rFonts w:cs="Arial"/>
          <w:b/>
        </w:rPr>
      </w:pPr>
      <w:r>
        <w:rPr>
          <w:rFonts w:cs="Arial"/>
          <w:b/>
        </w:rPr>
        <w:t xml:space="preserve">Directorates’ </w:t>
      </w:r>
      <w:r w:rsidR="00991001">
        <w:rPr>
          <w:rFonts w:cs="Arial"/>
          <w:b/>
        </w:rPr>
        <w:t>Outturn</w:t>
      </w:r>
    </w:p>
    <w:p w:rsidR="00B54A4A" w:rsidRDefault="00B54A4A" w:rsidP="00AA3B74">
      <w:pPr>
        <w:jc w:val="both"/>
        <w:rPr>
          <w:rFonts w:cs="Arial"/>
          <w:b/>
        </w:rPr>
      </w:pPr>
    </w:p>
    <w:p w:rsidR="00DD7468" w:rsidRDefault="00B23BC2" w:rsidP="00AA3B74">
      <w:pPr>
        <w:ind w:left="567" w:hanging="567"/>
        <w:jc w:val="both"/>
        <w:rPr>
          <w:b/>
        </w:rPr>
      </w:pPr>
      <w:r>
        <w:rPr>
          <w:rFonts w:cs="Arial"/>
        </w:rPr>
        <w:t>2.2</w:t>
      </w:r>
      <w:r>
        <w:rPr>
          <w:rFonts w:cs="Arial"/>
        </w:rPr>
        <w:tab/>
      </w:r>
      <w:r w:rsidR="002B6778" w:rsidRPr="00B54A4A">
        <w:rPr>
          <w:rFonts w:cs="Arial"/>
        </w:rPr>
        <w:t xml:space="preserve">The </w:t>
      </w:r>
      <w:r w:rsidR="0084452D" w:rsidRPr="00B54A4A">
        <w:rPr>
          <w:rFonts w:cs="Arial"/>
        </w:rPr>
        <w:t xml:space="preserve">outturn for the Directorates is </w:t>
      </w:r>
      <w:r w:rsidR="003C6D61" w:rsidRPr="00B54A4A">
        <w:rPr>
          <w:rFonts w:cs="Arial"/>
        </w:rPr>
        <w:t>a</w:t>
      </w:r>
      <w:r w:rsidR="00F5400A" w:rsidRPr="00B54A4A">
        <w:rPr>
          <w:rFonts w:cs="Arial"/>
        </w:rPr>
        <w:t xml:space="preserve"> net</w:t>
      </w:r>
      <w:r w:rsidR="003C6D61" w:rsidRPr="00B54A4A">
        <w:rPr>
          <w:rFonts w:cs="Arial"/>
        </w:rPr>
        <w:t xml:space="preserve"> </w:t>
      </w:r>
      <w:r w:rsidR="00C11F21" w:rsidRPr="00B54A4A">
        <w:rPr>
          <w:rFonts w:cs="Arial"/>
        </w:rPr>
        <w:t xml:space="preserve">over </w:t>
      </w:r>
      <w:r w:rsidR="003C6D61" w:rsidRPr="00B54A4A">
        <w:rPr>
          <w:rFonts w:cs="Arial"/>
        </w:rPr>
        <w:t xml:space="preserve">spend of </w:t>
      </w:r>
      <w:r w:rsidR="0084452D" w:rsidRPr="00B54A4A">
        <w:rPr>
          <w:rFonts w:cs="Arial"/>
        </w:rPr>
        <w:t>£</w:t>
      </w:r>
      <w:r w:rsidR="00BE6255" w:rsidRPr="00B54A4A">
        <w:rPr>
          <w:rFonts w:cs="Arial"/>
        </w:rPr>
        <w:t>4.278</w:t>
      </w:r>
      <w:r w:rsidR="009870D0" w:rsidRPr="00B54A4A">
        <w:rPr>
          <w:rFonts w:cs="Arial"/>
        </w:rPr>
        <w:t>m</w:t>
      </w:r>
      <w:r w:rsidR="0046663B" w:rsidRPr="00B54A4A">
        <w:rPr>
          <w:rFonts w:cs="Arial"/>
        </w:rPr>
        <w:t xml:space="preserve"> after taking</w:t>
      </w:r>
      <w:r w:rsidR="008A5B16" w:rsidRPr="00B54A4A">
        <w:rPr>
          <w:rFonts w:cs="Arial"/>
        </w:rPr>
        <w:t xml:space="preserve"> into consideration a carry forward of £</w:t>
      </w:r>
      <w:r w:rsidR="00BE6255" w:rsidRPr="00B54A4A">
        <w:rPr>
          <w:rFonts w:cs="Arial"/>
        </w:rPr>
        <w:t>0.</w:t>
      </w:r>
      <w:r w:rsidR="00F104BD" w:rsidRPr="00B54A4A">
        <w:rPr>
          <w:rFonts w:cs="Arial"/>
        </w:rPr>
        <w:t>469</w:t>
      </w:r>
      <w:r w:rsidR="008A5B16" w:rsidRPr="00B54A4A">
        <w:rPr>
          <w:rFonts w:cs="Arial"/>
        </w:rPr>
        <w:t>m.</w:t>
      </w:r>
      <w:r w:rsidR="00CE5E14" w:rsidRPr="00B54A4A">
        <w:rPr>
          <w:rFonts w:cs="Arial"/>
        </w:rPr>
        <w:t xml:space="preserve"> </w:t>
      </w:r>
      <w:r w:rsidR="005846D7" w:rsidRPr="00B54A4A">
        <w:rPr>
          <w:rFonts w:cs="Arial"/>
        </w:rPr>
        <w:t xml:space="preserve">The position for each directorate is summarised </w:t>
      </w:r>
      <w:r w:rsidR="00F51D7C" w:rsidRPr="00B54A4A">
        <w:rPr>
          <w:rFonts w:cs="Arial"/>
        </w:rPr>
        <w:t>as follows</w:t>
      </w:r>
      <w:r w:rsidR="00C14341" w:rsidRPr="00B54A4A">
        <w:rPr>
          <w:rFonts w:cs="Arial"/>
        </w:rPr>
        <w:t>:</w:t>
      </w:r>
      <w:r w:rsidR="005846D7" w:rsidRPr="00B54A4A">
        <w:rPr>
          <w:rFonts w:cs="Arial"/>
        </w:rPr>
        <w:t xml:space="preserve"> </w:t>
      </w:r>
    </w:p>
    <w:p w:rsidR="00B23BC2" w:rsidRDefault="00B23BC2">
      <w:pPr>
        <w:pStyle w:val="ListParagraph"/>
        <w:spacing w:after="240"/>
        <w:ind w:left="374" w:right="306" w:hanging="374"/>
        <w:jc w:val="both"/>
        <w:rPr>
          <w:rFonts w:cs="Arial"/>
          <w:b/>
        </w:rPr>
      </w:pPr>
    </w:p>
    <w:p w:rsidR="00120AB1" w:rsidRDefault="00120AB1">
      <w:pPr>
        <w:pStyle w:val="ListParagraph"/>
        <w:spacing w:after="240"/>
        <w:ind w:left="374" w:right="306" w:hanging="374"/>
        <w:jc w:val="both"/>
        <w:rPr>
          <w:rFonts w:cs="Arial"/>
          <w:b/>
        </w:rPr>
      </w:pPr>
      <w:r w:rsidRPr="00C14341">
        <w:rPr>
          <w:rFonts w:cs="Arial"/>
          <w:b/>
        </w:rPr>
        <w:t>Resources</w:t>
      </w:r>
    </w:p>
    <w:p w:rsidR="00B23BC2" w:rsidRDefault="00B23BC2">
      <w:pPr>
        <w:pStyle w:val="ListParagraph"/>
        <w:spacing w:after="240"/>
        <w:ind w:left="374" w:right="306" w:hanging="374"/>
        <w:jc w:val="both"/>
        <w:rPr>
          <w:rFonts w:cs="Arial"/>
          <w:b/>
        </w:rPr>
      </w:pPr>
    </w:p>
    <w:p w:rsidR="009870D0" w:rsidRPr="000F0C4F" w:rsidRDefault="009870D0" w:rsidP="00AA3B74">
      <w:pPr>
        <w:pStyle w:val="ListParagraph"/>
        <w:numPr>
          <w:ilvl w:val="0"/>
          <w:numId w:val="100"/>
        </w:numPr>
        <w:spacing w:after="240"/>
        <w:ind w:left="567" w:right="306" w:hanging="567"/>
        <w:jc w:val="both"/>
        <w:rPr>
          <w:rFonts w:cs="Arial"/>
        </w:rPr>
      </w:pPr>
      <w:r w:rsidRPr="000F0C4F">
        <w:rPr>
          <w:rFonts w:cs="Arial"/>
        </w:rPr>
        <w:t xml:space="preserve">The outturn position for Resources is an </w:t>
      </w:r>
      <w:r w:rsidR="008A5B16">
        <w:rPr>
          <w:rFonts w:cs="Arial"/>
        </w:rPr>
        <w:t>under spend of (£</w:t>
      </w:r>
      <w:r w:rsidR="00746E89">
        <w:rPr>
          <w:rFonts w:cs="Arial"/>
        </w:rPr>
        <w:t>0.</w:t>
      </w:r>
      <w:r w:rsidR="00C44853">
        <w:rPr>
          <w:rFonts w:cs="Arial"/>
        </w:rPr>
        <w:t>633</w:t>
      </w:r>
      <w:r w:rsidR="00746E89">
        <w:rPr>
          <w:rFonts w:cs="Arial"/>
        </w:rPr>
        <w:t>m</w:t>
      </w:r>
      <w:r w:rsidR="008A5B16">
        <w:rPr>
          <w:rFonts w:cs="Arial"/>
        </w:rPr>
        <w:t>)</w:t>
      </w:r>
      <w:r w:rsidR="00495A70">
        <w:rPr>
          <w:rFonts w:cs="Arial"/>
        </w:rPr>
        <w:t xml:space="preserve"> after allowing</w:t>
      </w:r>
      <w:r w:rsidR="00C44853">
        <w:rPr>
          <w:rFonts w:cs="Arial"/>
        </w:rPr>
        <w:t xml:space="preserve"> for </w:t>
      </w:r>
      <w:r w:rsidR="00495A70">
        <w:rPr>
          <w:rFonts w:cs="Arial"/>
        </w:rPr>
        <w:t>a carry forward of £</w:t>
      </w:r>
      <w:r w:rsidR="00BF338E">
        <w:rPr>
          <w:rFonts w:cs="Arial"/>
        </w:rPr>
        <w:t>0.315m</w:t>
      </w:r>
      <w:r w:rsidR="00495A70">
        <w:rPr>
          <w:rFonts w:cs="Arial"/>
        </w:rPr>
        <w:t xml:space="preserve">. </w:t>
      </w:r>
      <w:r w:rsidRPr="000F0C4F">
        <w:rPr>
          <w:rFonts w:cs="Arial"/>
        </w:rPr>
        <w:t xml:space="preserve">The key reasons </w:t>
      </w:r>
      <w:r w:rsidR="00495A70">
        <w:rPr>
          <w:rFonts w:cs="Arial"/>
        </w:rPr>
        <w:t xml:space="preserve">for the under spend </w:t>
      </w:r>
      <w:r w:rsidRPr="000F0C4F">
        <w:rPr>
          <w:rFonts w:cs="Arial"/>
        </w:rPr>
        <w:t>are detailed below:</w:t>
      </w:r>
    </w:p>
    <w:p w:rsidR="00BB2D5B" w:rsidRDefault="009870D0">
      <w:pPr>
        <w:spacing w:after="240"/>
        <w:ind w:left="993" w:right="306" w:hanging="432"/>
        <w:jc w:val="both"/>
        <w:rPr>
          <w:rFonts w:cs="Arial"/>
          <w:bCs/>
        </w:rPr>
      </w:pPr>
      <w:r>
        <w:rPr>
          <w:rFonts w:cs="Arial"/>
        </w:rPr>
        <w:t>●</w:t>
      </w:r>
      <w:r>
        <w:rPr>
          <w:rFonts w:cs="Arial"/>
        </w:rPr>
        <w:tab/>
      </w:r>
      <w:r w:rsidR="00BB2D5B" w:rsidRPr="00BB2D5B">
        <w:rPr>
          <w:rFonts w:cs="Arial"/>
          <w:bCs/>
        </w:rPr>
        <w:t xml:space="preserve">The Director of Resources is showing a net </w:t>
      </w:r>
      <w:r w:rsidR="00746E89">
        <w:rPr>
          <w:rFonts w:cs="Arial"/>
          <w:bCs/>
        </w:rPr>
        <w:t>(</w:t>
      </w:r>
      <w:r w:rsidR="00BB2D5B" w:rsidRPr="00BB2D5B">
        <w:rPr>
          <w:rFonts w:cs="Arial"/>
          <w:bCs/>
        </w:rPr>
        <w:t>£</w:t>
      </w:r>
      <w:r w:rsidR="00746E89">
        <w:rPr>
          <w:rFonts w:cs="Arial"/>
          <w:bCs/>
        </w:rPr>
        <w:t>0.</w:t>
      </w:r>
      <w:r w:rsidR="00BB2D5B" w:rsidRPr="00BB2D5B">
        <w:rPr>
          <w:rFonts w:cs="Arial"/>
          <w:bCs/>
        </w:rPr>
        <w:t>480</w:t>
      </w:r>
      <w:r w:rsidR="00746E89">
        <w:rPr>
          <w:rFonts w:cs="Arial"/>
          <w:bCs/>
        </w:rPr>
        <w:t>m)</w:t>
      </w:r>
      <w:r w:rsidR="00BB2D5B" w:rsidRPr="00BB2D5B">
        <w:rPr>
          <w:rFonts w:cs="Arial"/>
          <w:bCs/>
        </w:rPr>
        <w:t xml:space="preserve"> underspend which represents the in year spending freeze across the Resources d</w:t>
      </w:r>
      <w:r w:rsidR="003924D0">
        <w:rPr>
          <w:rFonts w:cs="Arial"/>
          <w:bCs/>
        </w:rPr>
        <w:t>irectorate as their contribution to their spending control target of £0.500m.</w:t>
      </w:r>
    </w:p>
    <w:p w:rsidR="00BB2D5B" w:rsidRPr="00280E06" w:rsidRDefault="00991001">
      <w:pPr>
        <w:pStyle w:val="ListParagraph"/>
        <w:numPr>
          <w:ilvl w:val="0"/>
          <w:numId w:val="81"/>
        </w:numPr>
        <w:spacing w:after="240"/>
        <w:ind w:left="993" w:right="306" w:hanging="432"/>
        <w:jc w:val="both"/>
        <w:rPr>
          <w:rFonts w:cs="Arial"/>
        </w:rPr>
      </w:pPr>
      <w:r>
        <w:rPr>
          <w:rFonts w:cs="Arial"/>
          <w:bCs/>
        </w:rPr>
        <w:t xml:space="preserve">The </w:t>
      </w:r>
      <w:r w:rsidR="00BB2D5B" w:rsidRPr="00BB2D5B">
        <w:rPr>
          <w:rFonts w:cs="Arial"/>
          <w:bCs/>
        </w:rPr>
        <w:t xml:space="preserve">Finance division is reporting a net </w:t>
      </w:r>
      <w:r w:rsidR="00746E89">
        <w:rPr>
          <w:rFonts w:cs="Arial"/>
          <w:bCs/>
        </w:rPr>
        <w:t>(</w:t>
      </w:r>
      <w:r w:rsidR="00BB2D5B" w:rsidRPr="00BB2D5B">
        <w:rPr>
          <w:rFonts w:cs="Arial"/>
          <w:bCs/>
        </w:rPr>
        <w:t>£</w:t>
      </w:r>
      <w:r w:rsidR="00746E89">
        <w:rPr>
          <w:rFonts w:cs="Arial"/>
          <w:bCs/>
        </w:rPr>
        <w:t>0.</w:t>
      </w:r>
      <w:r w:rsidR="00BB2D5B" w:rsidRPr="00BB2D5B">
        <w:rPr>
          <w:rFonts w:cs="Arial"/>
          <w:bCs/>
        </w:rPr>
        <w:t>167</w:t>
      </w:r>
      <w:r w:rsidR="00746E89">
        <w:rPr>
          <w:rFonts w:cs="Arial"/>
          <w:bCs/>
        </w:rPr>
        <w:t>m)</w:t>
      </w:r>
      <w:r w:rsidR="00BB2D5B" w:rsidRPr="00BB2D5B">
        <w:rPr>
          <w:rFonts w:cs="Arial"/>
          <w:bCs/>
        </w:rPr>
        <w:t xml:space="preserve"> underspend, which relates mainly </w:t>
      </w:r>
      <w:r w:rsidR="005314CD" w:rsidRPr="00BB2D5B">
        <w:rPr>
          <w:rFonts w:cs="Arial"/>
          <w:bCs/>
        </w:rPr>
        <w:t xml:space="preserve">to </w:t>
      </w:r>
      <w:r w:rsidR="005314CD">
        <w:rPr>
          <w:rFonts w:cs="Arial"/>
          <w:bCs/>
        </w:rPr>
        <w:t>reduce</w:t>
      </w:r>
      <w:r w:rsidR="00BB2D5B" w:rsidRPr="00BB2D5B">
        <w:rPr>
          <w:rFonts w:cs="Arial"/>
          <w:bCs/>
        </w:rPr>
        <w:t xml:space="preserve"> insurance premiums for the authority and </w:t>
      </w:r>
      <w:r w:rsidR="00252320">
        <w:rPr>
          <w:rFonts w:cs="Arial"/>
          <w:bCs/>
        </w:rPr>
        <w:t>a</w:t>
      </w:r>
      <w:r w:rsidR="00350680">
        <w:rPr>
          <w:rFonts w:cs="Arial"/>
          <w:bCs/>
        </w:rPr>
        <w:t xml:space="preserve"> </w:t>
      </w:r>
      <w:r w:rsidR="00252320">
        <w:rPr>
          <w:rFonts w:cs="Arial"/>
          <w:bCs/>
        </w:rPr>
        <w:t>number of other minor variances</w:t>
      </w:r>
      <w:r w:rsidR="00BB2D5B">
        <w:rPr>
          <w:rFonts w:cs="Arial"/>
          <w:bCs/>
        </w:rPr>
        <w:t>.</w:t>
      </w:r>
    </w:p>
    <w:p w:rsidR="00BB2D5B" w:rsidRPr="002A0619" w:rsidRDefault="00BB2D5B">
      <w:pPr>
        <w:pStyle w:val="ListParagraph"/>
        <w:spacing w:after="240"/>
        <w:ind w:left="993" w:right="306" w:hanging="432"/>
        <w:jc w:val="both"/>
        <w:rPr>
          <w:rFonts w:cs="Arial"/>
        </w:rPr>
      </w:pPr>
    </w:p>
    <w:p w:rsidR="00BB2D5B" w:rsidRPr="00252320" w:rsidRDefault="00BB2D5B">
      <w:pPr>
        <w:pStyle w:val="ListParagraph"/>
        <w:numPr>
          <w:ilvl w:val="0"/>
          <w:numId w:val="81"/>
        </w:numPr>
        <w:spacing w:after="240"/>
        <w:ind w:left="993" w:right="306" w:hanging="432"/>
        <w:jc w:val="both"/>
        <w:rPr>
          <w:rFonts w:cs="Arial"/>
        </w:rPr>
      </w:pPr>
      <w:r w:rsidRPr="00BB2D5B">
        <w:rPr>
          <w:rFonts w:cs="Arial"/>
          <w:bCs/>
        </w:rPr>
        <w:t xml:space="preserve">Legal and Governance are reporting an overall net </w:t>
      </w:r>
      <w:r w:rsidR="00746E89">
        <w:rPr>
          <w:rFonts w:cs="Arial"/>
          <w:bCs/>
        </w:rPr>
        <w:t>(</w:t>
      </w:r>
      <w:r w:rsidRPr="00BB2D5B">
        <w:rPr>
          <w:rFonts w:cs="Arial"/>
          <w:bCs/>
        </w:rPr>
        <w:t>£</w:t>
      </w:r>
      <w:r w:rsidR="00746E89">
        <w:rPr>
          <w:rFonts w:cs="Arial"/>
          <w:bCs/>
        </w:rPr>
        <w:t>0.171m)</w:t>
      </w:r>
      <w:r w:rsidRPr="00BB2D5B">
        <w:rPr>
          <w:rFonts w:cs="Arial"/>
          <w:bCs/>
        </w:rPr>
        <w:t xml:space="preserve"> underspend that </w:t>
      </w:r>
      <w:r w:rsidR="003924D0">
        <w:rPr>
          <w:rFonts w:cs="Arial"/>
          <w:bCs/>
        </w:rPr>
        <w:t>is due to higher than budgeted</w:t>
      </w:r>
      <w:r w:rsidRPr="00BB2D5B">
        <w:rPr>
          <w:rFonts w:cs="Arial"/>
          <w:bCs/>
        </w:rPr>
        <w:t xml:space="preserve"> income from the legal practice</w:t>
      </w:r>
      <w:r>
        <w:rPr>
          <w:rFonts w:cs="Arial"/>
          <w:bCs/>
        </w:rPr>
        <w:t>.</w:t>
      </w:r>
    </w:p>
    <w:p w:rsidR="00252320" w:rsidRPr="00252320" w:rsidRDefault="00252320">
      <w:pPr>
        <w:pStyle w:val="ListParagraph"/>
        <w:jc w:val="both"/>
        <w:rPr>
          <w:rFonts w:cs="Arial"/>
        </w:rPr>
      </w:pPr>
    </w:p>
    <w:p w:rsidR="00252320" w:rsidRPr="00280E06" w:rsidRDefault="00252320">
      <w:pPr>
        <w:pStyle w:val="ListParagraph"/>
        <w:numPr>
          <w:ilvl w:val="0"/>
          <w:numId w:val="81"/>
        </w:numPr>
        <w:spacing w:after="240"/>
        <w:ind w:left="993" w:right="306" w:hanging="432"/>
        <w:jc w:val="both"/>
        <w:rPr>
          <w:rFonts w:cs="Arial"/>
        </w:rPr>
      </w:pPr>
      <w:r>
        <w:rPr>
          <w:rFonts w:cs="Arial"/>
        </w:rPr>
        <w:t>Other under spends across the services of (£0.039m)</w:t>
      </w:r>
      <w:r w:rsidR="00D70251">
        <w:rPr>
          <w:rFonts w:cs="Arial"/>
        </w:rPr>
        <w:t>.</w:t>
      </w:r>
    </w:p>
    <w:p w:rsidR="00BB2D5B" w:rsidRPr="002A0619" w:rsidRDefault="00BB2D5B">
      <w:pPr>
        <w:pStyle w:val="ListParagraph"/>
        <w:ind w:left="993" w:hanging="432"/>
        <w:jc w:val="both"/>
        <w:rPr>
          <w:rFonts w:cs="Arial"/>
        </w:rPr>
      </w:pPr>
    </w:p>
    <w:p w:rsidR="00BB2D5B" w:rsidRPr="00280E06" w:rsidRDefault="003924D0">
      <w:pPr>
        <w:spacing w:after="240"/>
        <w:ind w:left="360" w:right="306"/>
        <w:jc w:val="both"/>
        <w:rPr>
          <w:rFonts w:cs="Arial"/>
        </w:rPr>
      </w:pPr>
      <w:r>
        <w:rPr>
          <w:rFonts w:cs="Arial"/>
        </w:rPr>
        <w:t>The above are</w:t>
      </w:r>
      <w:r w:rsidR="00BB2D5B">
        <w:rPr>
          <w:rFonts w:cs="Arial"/>
        </w:rPr>
        <w:t xml:space="preserve"> </w:t>
      </w:r>
      <w:r w:rsidR="00991001">
        <w:rPr>
          <w:rFonts w:cs="Arial"/>
        </w:rPr>
        <w:t xml:space="preserve">partly </w:t>
      </w:r>
      <w:r w:rsidR="00BB2D5B">
        <w:rPr>
          <w:rFonts w:cs="Arial"/>
        </w:rPr>
        <w:t>offset by over spe</w:t>
      </w:r>
      <w:r w:rsidR="00240F7C">
        <w:rPr>
          <w:rFonts w:cs="Arial"/>
        </w:rPr>
        <w:t>n</w:t>
      </w:r>
      <w:r w:rsidR="00BB2D5B">
        <w:rPr>
          <w:rFonts w:cs="Arial"/>
        </w:rPr>
        <w:t xml:space="preserve">ds </w:t>
      </w:r>
      <w:r w:rsidR="004C3FC6">
        <w:rPr>
          <w:rFonts w:cs="Arial"/>
        </w:rPr>
        <w:t>as detailed:</w:t>
      </w:r>
    </w:p>
    <w:p w:rsidR="00746E89" w:rsidRPr="004E7384" w:rsidRDefault="00746E89">
      <w:pPr>
        <w:pStyle w:val="ListParagraph"/>
        <w:numPr>
          <w:ilvl w:val="0"/>
          <w:numId w:val="46"/>
        </w:numPr>
        <w:spacing w:after="240"/>
        <w:ind w:left="851" w:right="306"/>
        <w:jc w:val="both"/>
        <w:rPr>
          <w:rFonts w:cs="Arial"/>
        </w:rPr>
      </w:pPr>
      <w:r w:rsidRPr="004E7384">
        <w:rPr>
          <w:rFonts w:cs="Arial"/>
          <w:bCs/>
        </w:rPr>
        <w:t xml:space="preserve">The Business Support </w:t>
      </w:r>
      <w:r w:rsidRPr="004E7384">
        <w:rPr>
          <w:rFonts w:cs="Arial"/>
        </w:rPr>
        <w:t>division is reporting a net overspend of £0.111m which results from temporarily diverting resources to undertake a lean review of the service for longer term benefit and additional spend on agency staff.</w:t>
      </w:r>
    </w:p>
    <w:p w:rsidR="00746E89" w:rsidRPr="004E7384" w:rsidRDefault="00746E89">
      <w:pPr>
        <w:pStyle w:val="ListParagraph"/>
        <w:spacing w:after="240"/>
        <w:ind w:left="851" w:right="306"/>
        <w:jc w:val="both"/>
        <w:rPr>
          <w:rFonts w:cs="Arial"/>
        </w:rPr>
      </w:pPr>
    </w:p>
    <w:p w:rsidR="00746E89" w:rsidRPr="004E7384" w:rsidRDefault="004E7384">
      <w:pPr>
        <w:pStyle w:val="ListParagraph"/>
        <w:numPr>
          <w:ilvl w:val="0"/>
          <w:numId w:val="46"/>
        </w:numPr>
        <w:spacing w:after="240"/>
        <w:ind w:left="851" w:right="306"/>
        <w:jc w:val="both"/>
        <w:rPr>
          <w:rFonts w:cs="Arial"/>
        </w:rPr>
      </w:pPr>
      <w:r>
        <w:rPr>
          <w:rFonts w:cs="Arial"/>
          <w:bCs/>
        </w:rPr>
        <w:t xml:space="preserve">The </w:t>
      </w:r>
      <w:r w:rsidR="00746E89" w:rsidRPr="004E7384">
        <w:rPr>
          <w:rFonts w:cs="Arial"/>
          <w:bCs/>
        </w:rPr>
        <w:t>Strategic Commissioning division is reporting a net overspend of £0.114m</w:t>
      </w:r>
      <w:r w:rsidR="000C52E1">
        <w:rPr>
          <w:rFonts w:cs="Arial"/>
          <w:bCs/>
        </w:rPr>
        <w:t xml:space="preserve"> </w:t>
      </w:r>
      <w:r w:rsidR="009515E7">
        <w:rPr>
          <w:rFonts w:cs="Arial"/>
          <w:bCs/>
        </w:rPr>
        <w:t xml:space="preserve">mainly </w:t>
      </w:r>
      <w:r w:rsidR="000C52E1">
        <w:rPr>
          <w:rFonts w:cs="Arial"/>
          <w:bCs/>
        </w:rPr>
        <w:t>due</w:t>
      </w:r>
      <w:r w:rsidR="009515E7">
        <w:rPr>
          <w:rFonts w:cs="Arial"/>
          <w:bCs/>
        </w:rPr>
        <w:t xml:space="preserve"> </w:t>
      </w:r>
      <w:r w:rsidR="000C52E1">
        <w:rPr>
          <w:rFonts w:cs="Arial"/>
          <w:bCs/>
        </w:rPr>
        <w:t>to</w:t>
      </w:r>
      <w:r w:rsidR="00746E89" w:rsidRPr="004E7384">
        <w:rPr>
          <w:rFonts w:cs="Arial"/>
          <w:bCs/>
        </w:rPr>
        <w:t xml:space="preserve"> </w:t>
      </w:r>
      <w:r w:rsidR="000C52E1">
        <w:rPr>
          <w:rFonts w:cs="Arial"/>
          <w:bCs/>
        </w:rPr>
        <w:t>un</w:t>
      </w:r>
      <w:r w:rsidR="00746E89" w:rsidRPr="004E7384">
        <w:rPr>
          <w:rFonts w:cs="Arial"/>
          <w:bCs/>
        </w:rPr>
        <w:t>achieved MTFS savings target</w:t>
      </w:r>
      <w:r w:rsidR="00594B14">
        <w:rPr>
          <w:rFonts w:cs="Arial"/>
          <w:bCs/>
        </w:rPr>
        <w:t>s</w:t>
      </w:r>
      <w:r w:rsidR="009515E7">
        <w:rPr>
          <w:rFonts w:cs="Arial"/>
          <w:bCs/>
        </w:rPr>
        <w:t xml:space="preserve"> combined with the </w:t>
      </w:r>
      <w:r w:rsidR="00A857BF">
        <w:rPr>
          <w:rFonts w:cs="Arial"/>
          <w:bCs/>
        </w:rPr>
        <w:t>i</w:t>
      </w:r>
      <w:r w:rsidR="009515E7">
        <w:rPr>
          <w:rFonts w:cs="Arial"/>
          <w:bCs/>
        </w:rPr>
        <w:t>ncreased income target in relation to Communication services. In addit</w:t>
      </w:r>
      <w:r w:rsidR="00252320">
        <w:rPr>
          <w:rFonts w:cs="Arial"/>
          <w:szCs w:val="24"/>
          <w:lang w:eastAsia="en-GB"/>
        </w:rPr>
        <w:t>ion Community R</w:t>
      </w:r>
      <w:r w:rsidR="009515E7">
        <w:rPr>
          <w:rFonts w:cs="Arial"/>
          <w:szCs w:val="24"/>
          <w:lang w:eastAsia="en-GB"/>
        </w:rPr>
        <w:t>esilience reported underachieved income resulting from Schools not subscribing to the service</w:t>
      </w:r>
      <w:r w:rsidR="004C3FC6">
        <w:rPr>
          <w:rFonts w:cs="Arial"/>
          <w:szCs w:val="24"/>
          <w:lang w:eastAsia="en-GB"/>
        </w:rPr>
        <w:t>.</w:t>
      </w:r>
      <w:r w:rsidR="009515E7">
        <w:rPr>
          <w:rFonts w:cs="Arial"/>
          <w:szCs w:val="24"/>
          <w:lang w:eastAsia="en-GB"/>
        </w:rPr>
        <w:t xml:space="preserve"> </w:t>
      </w:r>
      <w:r w:rsidR="00746E89" w:rsidRPr="004E7384">
        <w:rPr>
          <w:rFonts w:cs="Arial"/>
          <w:bCs/>
        </w:rPr>
        <w:t xml:space="preserve"> </w:t>
      </w:r>
    </w:p>
    <w:p w:rsidR="009E2F1D" w:rsidRPr="00D5412A" w:rsidRDefault="009E2F1D">
      <w:pPr>
        <w:pStyle w:val="ListParagraph"/>
        <w:jc w:val="both"/>
        <w:rPr>
          <w:rFonts w:cs="Arial"/>
        </w:rPr>
      </w:pPr>
    </w:p>
    <w:p w:rsidR="009E2F1D" w:rsidRPr="009E2F1D" w:rsidRDefault="009E2F1D">
      <w:pPr>
        <w:spacing w:after="240"/>
        <w:ind w:right="306"/>
        <w:jc w:val="both"/>
        <w:rPr>
          <w:rFonts w:cs="Arial"/>
        </w:rPr>
      </w:pPr>
      <w:r w:rsidRPr="009E2F1D">
        <w:rPr>
          <w:rFonts w:cs="Arial"/>
        </w:rPr>
        <w:t>The recommended carry forward requests of</w:t>
      </w:r>
      <w:r>
        <w:rPr>
          <w:rFonts w:cs="Arial"/>
        </w:rPr>
        <w:t xml:space="preserve"> £</w:t>
      </w:r>
      <w:r w:rsidR="00BF338E">
        <w:rPr>
          <w:rFonts w:cs="Arial"/>
        </w:rPr>
        <w:t>0.315m</w:t>
      </w:r>
      <w:r w:rsidR="00785BAB">
        <w:rPr>
          <w:rFonts w:cs="Arial"/>
        </w:rPr>
        <w:t xml:space="preserve"> are set out </w:t>
      </w:r>
      <w:r w:rsidR="00AC08D3">
        <w:rPr>
          <w:rFonts w:cs="Arial"/>
        </w:rPr>
        <w:t xml:space="preserve">in </w:t>
      </w:r>
      <w:r w:rsidR="00785BAB">
        <w:rPr>
          <w:rFonts w:cs="Arial"/>
        </w:rPr>
        <w:t xml:space="preserve">Appendix </w:t>
      </w:r>
      <w:r w:rsidR="002F3277">
        <w:rPr>
          <w:rFonts w:cs="Arial"/>
        </w:rPr>
        <w:t>1</w:t>
      </w:r>
    </w:p>
    <w:p w:rsidR="003924D0" w:rsidRDefault="00C14341">
      <w:pPr>
        <w:spacing w:after="240"/>
        <w:ind w:left="561" w:right="306" w:hanging="561"/>
        <w:jc w:val="both"/>
        <w:rPr>
          <w:rFonts w:cs="Arial"/>
          <w:b/>
        </w:rPr>
      </w:pPr>
      <w:r>
        <w:rPr>
          <w:rFonts w:cs="Arial"/>
          <w:b/>
        </w:rPr>
        <w:t>Community</w:t>
      </w:r>
    </w:p>
    <w:p w:rsidR="003924D0" w:rsidRDefault="003924D0" w:rsidP="00AA3B74">
      <w:pPr>
        <w:pStyle w:val="ListParagraph"/>
        <w:numPr>
          <w:ilvl w:val="0"/>
          <w:numId w:val="128"/>
        </w:numPr>
        <w:spacing w:after="240"/>
        <w:ind w:left="567" w:right="306" w:hanging="567"/>
        <w:jc w:val="both"/>
        <w:rPr>
          <w:rFonts w:cs="Arial"/>
        </w:rPr>
      </w:pPr>
      <w:r w:rsidRPr="003924D0">
        <w:rPr>
          <w:rFonts w:cs="Arial"/>
        </w:rPr>
        <w:t xml:space="preserve">The outturn position for Community is an over spend of </w:t>
      </w:r>
      <w:r>
        <w:rPr>
          <w:rFonts w:cs="Arial"/>
        </w:rPr>
        <w:t>£1.6</w:t>
      </w:r>
      <w:r w:rsidRPr="003924D0">
        <w:rPr>
          <w:rFonts w:cs="Arial"/>
        </w:rPr>
        <w:t>m.</w:t>
      </w:r>
      <w:r w:rsidR="00350680">
        <w:rPr>
          <w:rFonts w:cs="Arial"/>
        </w:rPr>
        <w:t xml:space="preserve"> However, £0.14</w:t>
      </w:r>
      <w:r w:rsidR="006C29F2">
        <w:rPr>
          <w:rFonts w:cs="Arial"/>
        </w:rPr>
        <w:t>3</w:t>
      </w:r>
      <w:r w:rsidR="00350680">
        <w:rPr>
          <w:rFonts w:cs="Arial"/>
        </w:rPr>
        <w:t xml:space="preserve">m is funded from capacity </w:t>
      </w:r>
      <w:r w:rsidR="00753569">
        <w:rPr>
          <w:rFonts w:cs="Arial"/>
        </w:rPr>
        <w:t xml:space="preserve">already </w:t>
      </w:r>
      <w:r w:rsidR="00350680">
        <w:rPr>
          <w:rFonts w:cs="Arial"/>
        </w:rPr>
        <w:t xml:space="preserve">set aside corporately to fund </w:t>
      </w:r>
      <w:r w:rsidR="00753569">
        <w:rPr>
          <w:rFonts w:cs="Arial"/>
        </w:rPr>
        <w:t xml:space="preserve">the loss of parking income as a result of </w:t>
      </w:r>
      <w:r w:rsidR="00350680">
        <w:rPr>
          <w:rFonts w:cs="Arial"/>
        </w:rPr>
        <w:t>regeneration. This leaves a</w:t>
      </w:r>
      <w:r w:rsidR="00753569">
        <w:rPr>
          <w:rFonts w:cs="Arial"/>
        </w:rPr>
        <w:t xml:space="preserve"> balance of</w:t>
      </w:r>
      <w:r w:rsidR="00350680">
        <w:rPr>
          <w:rFonts w:cs="Arial"/>
        </w:rPr>
        <w:t xml:space="preserve"> </w:t>
      </w:r>
      <w:r w:rsidR="00753569">
        <w:rPr>
          <w:rFonts w:cs="Arial"/>
        </w:rPr>
        <w:t>£1.45</w:t>
      </w:r>
      <w:r w:rsidR="006C29F2">
        <w:rPr>
          <w:rFonts w:cs="Arial"/>
        </w:rPr>
        <w:t>7</w:t>
      </w:r>
      <w:r w:rsidR="00753569">
        <w:rPr>
          <w:rFonts w:cs="Arial"/>
        </w:rPr>
        <w:t>m deta</w:t>
      </w:r>
      <w:r w:rsidR="004C3FC6">
        <w:rPr>
          <w:rFonts w:cs="Arial"/>
        </w:rPr>
        <w:t>iled below:</w:t>
      </w:r>
      <w:r w:rsidR="00753569">
        <w:rPr>
          <w:rFonts w:cs="Arial"/>
        </w:rPr>
        <w:t xml:space="preserve"> </w:t>
      </w:r>
    </w:p>
    <w:p w:rsidR="00BF338E" w:rsidRDefault="00C14341">
      <w:pPr>
        <w:spacing w:after="240"/>
        <w:ind w:left="851" w:right="306" w:hanging="284"/>
        <w:jc w:val="both"/>
      </w:pPr>
      <w:r w:rsidRPr="00074EF4">
        <w:t>●</w:t>
      </w:r>
      <w:r w:rsidR="005314CD" w:rsidRPr="00A37874">
        <w:rPr>
          <w:b/>
        </w:rPr>
        <w:t> Libraries</w:t>
      </w:r>
      <w:r w:rsidR="00BF338E" w:rsidRPr="00BF338E">
        <w:rPr>
          <w:b/>
        </w:rPr>
        <w:t xml:space="preserve"> and Leisure service</w:t>
      </w:r>
      <w:r w:rsidR="00BF338E" w:rsidRPr="00BF338E">
        <w:t xml:space="preserve"> </w:t>
      </w:r>
      <w:r w:rsidR="00813CBD">
        <w:t>is</w:t>
      </w:r>
      <w:r w:rsidR="00BF338E" w:rsidRPr="00BF338E">
        <w:t xml:space="preserve"> over spent by £</w:t>
      </w:r>
      <w:r w:rsidR="00BF338E">
        <w:t>0.</w:t>
      </w:r>
      <w:r w:rsidR="00BF338E" w:rsidRPr="00BF338E">
        <w:t>442</w:t>
      </w:r>
      <w:r w:rsidR="00BF338E">
        <w:t>m</w:t>
      </w:r>
      <w:r w:rsidR="00BF338E" w:rsidRPr="00BF338E">
        <w:t xml:space="preserve">. The Libraries Service was provided by Carillion until January </w:t>
      </w:r>
      <w:r w:rsidR="00991001">
        <w:t>20</w:t>
      </w:r>
      <w:r w:rsidR="00BF338E" w:rsidRPr="00BF338E">
        <w:t>18. The net cost impact arising from the company’s liquidation is £</w:t>
      </w:r>
      <w:r w:rsidR="00BF338E">
        <w:t>0.</w:t>
      </w:r>
      <w:r w:rsidR="00BF338E" w:rsidRPr="00BF338E">
        <w:t>140</w:t>
      </w:r>
      <w:r w:rsidR="00BF338E">
        <w:t>m</w:t>
      </w:r>
      <w:r w:rsidR="00BF338E" w:rsidRPr="00BF338E">
        <w:t xml:space="preserve"> due to the outstanding unpaid sum relating to rent and service charges due from Carillion, for which a 100% bad debt provision is made. </w:t>
      </w:r>
      <w:r w:rsidR="00813CBD">
        <w:t xml:space="preserve">There are a couple of unbudgeted costs relating to the contract indexation price increases during the contract period £0.09m and </w:t>
      </w:r>
      <w:r w:rsidR="00BF338E" w:rsidRPr="00BF338E">
        <w:t>a backdated rent cost of £</w:t>
      </w:r>
      <w:r w:rsidR="00BF338E">
        <w:t>0.</w:t>
      </w:r>
      <w:r w:rsidR="00BF338E" w:rsidRPr="00BF338E">
        <w:t>120</w:t>
      </w:r>
      <w:r w:rsidR="00BF338E">
        <w:t>m</w:t>
      </w:r>
      <w:r w:rsidR="00BF338E" w:rsidRPr="00BF338E">
        <w:t xml:space="preserve"> for </w:t>
      </w:r>
      <w:proofErr w:type="spellStart"/>
      <w:r w:rsidR="00BF338E" w:rsidRPr="00BF338E">
        <w:t>Gayton</w:t>
      </w:r>
      <w:proofErr w:type="spellEnd"/>
      <w:r w:rsidR="00BF338E" w:rsidRPr="00BF338E">
        <w:t xml:space="preserve"> Library following a rent re-negotiation. The MTFS saving in Leisure Service £</w:t>
      </w:r>
      <w:r w:rsidR="00BF338E">
        <w:t>0.</w:t>
      </w:r>
      <w:r w:rsidR="00BF338E" w:rsidRPr="00BF338E">
        <w:t>100</w:t>
      </w:r>
      <w:r w:rsidR="00BF338E">
        <w:t>m</w:t>
      </w:r>
      <w:r w:rsidR="00BF338E" w:rsidRPr="00BF338E">
        <w:t xml:space="preserve"> is unachieved due to the delay in the redevelopment </w:t>
      </w:r>
      <w:r w:rsidR="005314CD" w:rsidRPr="00BF338E">
        <w:t xml:space="preserve">of </w:t>
      </w:r>
      <w:r w:rsidR="005314CD">
        <w:t>the</w:t>
      </w:r>
      <w:r w:rsidR="00B37831">
        <w:t xml:space="preserve"> Harrow</w:t>
      </w:r>
      <w:r w:rsidR="00991001">
        <w:t xml:space="preserve"> </w:t>
      </w:r>
      <w:r w:rsidR="00BF338E" w:rsidRPr="00BF338E">
        <w:t>leisure centre</w:t>
      </w:r>
      <w:r w:rsidR="00813CBD">
        <w:t>.</w:t>
      </w:r>
    </w:p>
    <w:p w:rsidR="00BF338E" w:rsidRDefault="00BF338E">
      <w:pPr>
        <w:pStyle w:val="ListParagraph"/>
        <w:numPr>
          <w:ilvl w:val="0"/>
          <w:numId w:val="21"/>
        </w:numPr>
        <w:ind w:left="866" w:hanging="284"/>
        <w:jc w:val="both"/>
      </w:pPr>
      <w:r w:rsidRPr="00BF338E">
        <w:t xml:space="preserve">In </w:t>
      </w:r>
      <w:r w:rsidRPr="00BF338E">
        <w:rPr>
          <w:b/>
        </w:rPr>
        <w:t>Public Protection</w:t>
      </w:r>
      <w:r w:rsidRPr="00BF338E">
        <w:t>, there is an income shortfall of £</w:t>
      </w:r>
      <w:r>
        <w:t>0.</w:t>
      </w:r>
      <w:r w:rsidRPr="00BF338E">
        <w:t>337</w:t>
      </w:r>
      <w:r>
        <w:t>m</w:t>
      </w:r>
      <w:r w:rsidRPr="00BF338E">
        <w:t xml:space="preserve"> as the number of licensable activities is less than anticipated. There is an unfunded counsel cost of £</w:t>
      </w:r>
      <w:r>
        <w:t>0.0</w:t>
      </w:r>
      <w:r w:rsidRPr="00BF338E">
        <w:t>30</w:t>
      </w:r>
      <w:r>
        <w:t>m</w:t>
      </w:r>
      <w:r w:rsidRPr="00BF338E">
        <w:t xml:space="preserve"> in relation to </w:t>
      </w:r>
      <w:r w:rsidR="00991001">
        <w:t xml:space="preserve">the </w:t>
      </w:r>
      <w:r w:rsidRPr="00BF338E">
        <w:t>prosecution of a food safety manslaughter case</w:t>
      </w:r>
      <w:r>
        <w:t>.</w:t>
      </w:r>
    </w:p>
    <w:p w:rsidR="009E2F1D" w:rsidRDefault="009E2F1D">
      <w:pPr>
        <w:ind w:right="304"/>
        <w:jc w:val="both"/>
      </w:pPr>
    </w:p>
    <w:p w:rsidR="00BF338E" w:rsidRDefault="00BF338E">
      <w:pPr>
        <w:pStyle w:val="ListParagraph"/>
        <w:numPr>
          <w:ilvl w:val="0"/>
          <w:numId w:val="21"/>
        </w:numPr>
        <w:ind w:left="866" w:hanging="284"/>
        <w:jc w:val="both"/>
      </w:pPr>
      <w:r w:rsidRPr="00BF338E">
        <w:rPr>
          <w:b/>
        </w:rPr>
        <w:t>Museum Service</w:t>
      </w:r>
      <w:r w:rsidRPr="00BF338E">
        <w:t xml:space="preserve"> is over spent by £</w:t>
      </w:r>
      <w:r>
        <w:t>0.</w:t>
      </w:r>
      <w:r w:rsidRPr="00BF338E">
        <w:t>148</w:t>
      </w:r>
      <w:r>
        <w:t>m</w:t>
      </w:r>
      <w:r w:rsidRPr="00BF338E">
        <w:t xml:space="preserve"> due to additional agency staffing and operating costs</w:t>
      </w:r>
      <w:r w:rsidR="004C3FC6">
        <w:t>,</w:t>
      </w:r>
      <w:r w:rsidR="00813CBD">
        <w:t xml:space="preserve"> primarily premises related</w:t>
      </w:r>
      <w:r>
        <w:t>.</w:t>
      </w:r>
    </w:p>
    <w:p w:rsidR="00BF338E" w:rsidRDefault="00BF338E">
      <w:pPr>
        <w:pStyle w:val="ListParagraph"/>
        <w:ind w:left="866"/>
        <w:jc w:val="both"/>
      </w:pPr>
    </w:p>
    <w:p w:rsidR="00BF338E" w:rsidRDefault="00BF338E">
      <w:pPr>
        <w:pStyle w:val="ListParagraph"/>
        <w:numPr>
          <w:ilvl w:val="0"/>
          <w:numId w:val="21"/>
        </w:numPr>
        <w:ind w:left="866" w:hanging="284"/>
        <w:jc w:val="both"/>
      </w:pPr>
      <w:r w:rsidRPr="00BF338E">
        <w:t xml:space="preserve"> </w:t>
      </w:r>
      <w:r w:rsidRPr="00BF338E">
        <w:rPr>
          <w:b/>
        </w:rPr>
        <w:t>Waste Services</w:t>
      </w:r>
      <w:r w:rsidRPr="00BF338E">
        <w:t xml:space="preserve"> </w:t>
      </w:r>
      <w:r w:rsidR="00813CBD">
        <w:t xml:space="preserve">have </w:t>
      </w:r>
      <w:r w:rsidRPr="00BF338E">
        <w:t xml:space="preserve">experienced a high level of sickness absence during </w:t>
      </w:r>
      <w:r w:rsidR="00991001">
        <w:t>20</w:t>
      </w:r>
      <w:r w:rsidRPr="00BF338E">
        <w:t>17/18. Additional properties</w:t>
      </w:r>
      <w:r w:rsidR="00991001">
        <w:t>,</w:t>
      </w:r>
      <w:r w:rsidRPr="00BF338E">
        <w:t xml:space="preserve"> as a result of new housing developments and increasing number of HMOs</w:t>
      </w:r>
      <w:r w:rsidR="00991001">
        <w:t>,</w:t>
      </w:r>
      <w:r w:rsidRPr="00BF338E">
        <w:t xml:space="preserve"> have led to the need to introduce waste collection</w:t>
      </w:r>
      <w:r w:rsidR="00991001">
        <w:t>s</w:t>
      </w:r>
      <w:r w:rsidRPr="00BF338E">
        <w:t xml:space="preserve"> over the weekend. Additional agency staff was therefore used to complete collection</w:t>
      </w:r>
      <w:r w:rsidR="00FF6707">
        <w:t>s</w:t>
      </w:r>
      <w:r w:rsidRPr="00BF338E">
        <w:t xml:space="preserve"> rounds</w:t>
      </w:r>
      <w:r w:rsidR="00813CBD">
        <w:t xml:space="preserve"> and cover for sickness absence</w:t>
      </w:r>
      <w:r w:rsidRPr="00BF338E">
        <w:t xml:space="preserve">, resulting in an over </w:t>
      </w:r>
      <w:r w:rsidR="00813CBD">
        <w:t>s</w:t>
      </w:r>
      <w:r w:rsidRPr="00BF338E">
        <w:t>pend</w:t>
      </w:r>
      <w:r w:rsidR="006C5AB4">
        <w:t xml:space="preserve"> of</w:t>
      </w:r>
      <w:r w:rsidRPr="00BF338E">
        <w:t xml:space="preserve"> £0.582m</w:t>
      </w:r>
      <w:r>
        <w:t>.</w:t>
      </w:r>
    </w:p>
    <w:p w:rsidR="00BF338E" w:rsidRDefault="00BF338E">
      <w:pPr>
        <w:pStyle w:val="ListParagraph"/>
        <w:jc w:val="both"/>
      </w:pPr>
    </w:p>
    <w:p w:rsidR="00BF338E" w:rsidRDefault="00BF338E">
      <w:pPr>
        <w:pStyle w:val="ListParagraph"/>
        <w:numPr>
          <w:ilvl w:val="0"/>
          <w:numId w:val="21"/>
        </w:numPr>
        <w:ind w:left="866" w:hanging="284"/>
        <w:jc w:val="both"/>
      </w:pPr>
      <w:r w:rsidRPr="00BF338E">
        <w:t xml:space="preserve">In </w:t>
      </w:r>
      <w:r w:rsidRPr="00BF338E">
        <w:rPr>
          <w:b/>
        </w:rPr>
        <w:t>Clean &amp; Green</w:t>
      </w:r>
      <w:r w:rsidRPr="00BF338E">
        <w:t>, there is a one-off overspend on agency staff of £</w:t>
      </w:r>
      <w:r>
        <w:t>0.</w:t>
      </w:r>
      <w:r w:rsidRPr="00BF338E">
        <w:t>130</w:t>
      </w:r>
      <w:r>
        <w:t>m</w:t>
      </w:r>
      <w:r w:rsidRPr="00BF338E">
        <w:t xml:space="preserve"> due to operational issues and an under achievement of grounds maintenance income of £</w:t>
      </w:r>
      <w:r>
        <w:t>0.173m.</w:t>
      </w:r>
    </w:p>
    <w:p w:rsidR="00BF338E" w:rsidRDefault="00BF338E">
      <w:pPr>
        <w:pStyle w:val="ListParagraph"/>
        <w:jc w:val="both"/>
      </w:pPr>
    </w:p>
    <w:p w:rsidR="00BF338E" w:rsidRDefault="00BF338E">
      <w:pPr>
        <w:pStyle w:val="ListParagraph"/>
        <w:numPr>
          <w:ilvl w:val="0"/>
          <w:numId w:val="21"/>
        </w:numPr>
        <w:ind w:left="866" w:hanging="284"/>
        <w:jc w:val="both"/>
      </w:pPr>
      <w:r w:rsidRPr="00BF338E">
        <w:t xml:space="preserve">During the re-structure of </w:t>
      </w:r>
      <w:r w:rsidR="00991001">
        <w:t xml:space="preserve">the </w:t>
      </w:r>
      <w:r w:rsidRPr="005C4C1A">
        <w:rPr>
          <w:b/>
        </w:rPr>
        <w:t>Environment &amp; Culture division</w:t>
      </w:r>
      <w:r w:rsidRPr="00BF338E">
        <w:t xml:space="preserve">, there was an interim cover for </w:t>
      </w:r>
      <w:r w:rsidR="007344A5">
        <w:t xml:space="preserve">two vacant Heads of Service </w:t>
      </w:r>
      <w:r w:rsidRPr="00BF338E">
        <w:t>positions and project management support, resulting in a one-off cost of £</w:t>
      </w:r>
      <w:r>
        <w:t>0.</w:t>
      </w:r>
      <w:r w:rsidRPr="00BF338E">
        <w:t>124</w:t>
      </w:r>
      <w:r>
        <w:t>m.</w:t>
      </w:r>
    </w:p>
    <w:p w:rsidR="00DE4F05" w:rsidRDefault="00DE4F05">
      <w:pPr>
        <w:pStyle w:val="ListParagraph"/>
        <w:jc w:val="both"/>
      </w:pPr>
    </w:p>
    <w:p w:rsidR="009E2F1D" w:rsidRDefault="009E2F1D" w:rsidP="00AA3B74">
      <w:pPr>
        <w:jc w:val="both"/>
        <w:rPr>
          <w:rFonts w:cs="Arial"/>
        </w:rPr>
      </w:pPr>
      <w:r w:rsidRPr="009E2F1D">
        <w:t xml:space="preserve"> </w:t>
      </w:r>
      <w:r w:rsidR="005314CD">
        <w:rPr>
          <w:rFonts w:cs="Arial"/>
        </w:rPr>
        <w:t>These</w:t>
      </w:r>
      <w:r w:rsidR="005314CD" w:rsidRPr="006F766E">
        <w:rPr>
          <w:rFonts w:cs="Arial"/>
        </w:rPr>
        <w:t xml:space="preserve"> overspend</w:t>
      </w:r>
      <w:r w:rsidR="004A4A51">
        <w:rPr>
          <w:rFonts w:cs="Arial"/>
        </w:rPr>
        <w:t xml:space="preserve"> </w:t>
      </w:r>
      <w:r w:rsidRPr="006F766E">
        <w:rPr>
          <w:rFonts w:cs="Arial"/>
        </w:rPr>
        <w:t>are partially offset by:</w:t>
      </w:r>
    </w:p>
    <w:p w:rsidR="009E2F1D" w:rsidRPr="00BF338E" w:rsidRDefault="00DE4F05">
      <w:pPr>
        <w:pStyle w:val="ListParagraph"/>
        <w:numPr>
          <w:ilvl w:val="0"/>
          <w:numId w:val="21"/>
        </w:numPr>
        <w:ind w:left="866" w:hanging="284"/>
        <w:jc w:val="both"/>
        <w:rPr>
          <w:rFonts w:cs="Arial"/>
        </w:rPr>
      </w:pPr>
      <w:r>
        <w:rPr>
          <w:rFonts w:cs="Arial"/>
        </w:rPr>
        <w:t>(</w:t>
      </w:r>
      <w:r w:rsidR="00BF338E" w:rsidRPr="00BF338E">
        <w:rPr>
          <w:rFonts w:cs="Arial"/>
        </w:rPr>
        <w:t>£</w:t>
      </w:r>
      <w:r w:rsidR="00BF338E">
        <w:rPr>
          <w:rFonts w:cs="Arial"/>
        </w:rPr>
        <w:t>0.</w:t>
      </w:r>
      <w:r w:rsidR="00BF338E" w:rsidRPr="00BF338E">
        <w:rPr>
          <w:rFonts w:cs="Arial"/>
        </w:rPr>
        <w:t>402</w:t>
      </w:r>
      <w:r w:rsidR="00BF338E">
        <w:rPr>
          <w:rFonts w:cs="Arial"/>
        </w:rPr>
        <w:t>m</w:t>
      </w:r>
      <w:r>
        <w:rPr>
          <w:rFonts w:cs="Arial"/>
        </w:rPr>
        <w:t>)</w:t>
      </w:r>
      <w:r w:rsidR="00BF338E" w:rsidRPr="00BF338E">
        <w:rPr>
          <w:rFonts w:cs="Arial"/>
        </w:rPr>
        <w:t xml:space="preserve"> under spend on waste disposal costs.</w:t>
      </w:r>
    </w:p>
    <w:p w:rsidR="009E2F1D" w:rsidRDefault="009E2F1D">
      <w:pPr>
        <w:pStyle w:val="ListParagraph"/>
        <w:ind w:left="866"/>
        <w:jc w:val="both"/>
        <w:rPr>
          <w:rFonts w:cs="Arial"/>
        </w:rPr>
      </w:pPr>
    </w:p>
    <w:p w:rsidR="00BF338E" w:rsidRDefault="00BF338E" w:rsidP="00AA3B74">
      <w:pPr>
        <w:pStyle w:val="ListParagraph"/>
        <w:numPr>
          <w:ilvl w:val="0"/>
          <w:numId w:val="21"/>
        </w:numPr>
        <w:tabs>
          <w:tab w:val="clear" w:pos="1440"/>
        </w:tabs>
        <w:ind w:left="851" w:hanging="284"/>
        <w:jc w:val="both"/>
        <w:rPr>
          <w:rFonts w:cs="Arial"/>
        </w:rPr>
      </w:pPr>
      <w:r w:rsidRPr="00BF338E">
        <w:rPr>
          <w:rFonts w:cs="Arial"/>
        </w:rPr>
        <w:t>Over achievement of income in Cemeteries (£</w:t>
      </w:r>
      <w:r>
        <w:rPr>
          <w:rFonts w:cs="Arial"/>
        </w:rPr>
        <w:t>0.0</w:t>
      </w:r>
      <w:r w:rsidRPr="00BF338E">
        <w:rPr>
          <w:rFonts w:cs="Arial"/>
        </w:rPr>
        <w:t>60</w:t>
      </w:r>
      <w:r>
        <w:rPr>
          <w:rFonts w:cs="Arial"/>
        </w:rPr>
        <w:t>m</w:t>
      </w:r>
      <w:r w:rsidRPr="00BF338E">
        <w:rPr>
          <w:rFonts w:cs="Arial"/>
        </w:rPr>
        <w:t xml:space="preserve">) and </w:t>
      </w:r>
      <w:r w:rsidR="004A4A51">
        <w:rPr>
          <w:rFonts w:cs="Arial"/>
        </w:rPr>
        <w:t xml:space="preserve">the </w:t>
      </w:r>
      <w:r w:rsidRPr="00BF338E">
        <w:rPr>
          <w:rFonts w:cs="Arial"/>
        </w:rPr>
        <w:t>Arts Centre (£</w:t>
      </w:r>
      <w:r>
        <w:rPr>
          <w:rFonts w:cs="Arial"/>
        </w:rPr>
        <w:t>0.0</w:t>
      </w:r>
      <w:r w:rsidRPr="00BF338E">
        <w:rPr>
          <w:rFonts w:cs="Arial"/>
        </w:rPr>
        <w:t>63</w:t>
      </w:r>
      <w:r>
        <w:rPr>
          <w:rFonts w:cs="Arial"/>
        </w:rPr>
        <w:t>m</w:t>
      </w:r>
      <w:r w:rsidRPr="00BF338E">
        <w:rPr>
          <w:rFonts w:cs="Arial"/>
        </w:rPr>
        <w:t>)</w:t>
      </w:r>
    </w:p>
    <w:p w:rsidR="009E2F1D" w:rsidRDefault="009E2F1D">
      <w:pPr>
        <w:pStyle w:val="ListParagraph"/>
        <w:ind w:left="866"/>
        <w:jc w:val="both"/>
        <w:rPr>
          <w:rFonts w:cs="Arial"/>
        </w:rPr>
      </w:pPr>
    </w:p>
    <w:p w:rsidR="00120AB1" w:rsidRDefault="000F1237">
      <w:pPr>
        <w:ind w:right="304"/>
        <w:jc w:val="both"/>
        <w:rPr>
          <w:rFonts w:cs="Arial"/>
          <w:b/>
        </w:rPr>
      </w:pPr>
      <w:r>
        <w:rPr>
          <w:rFonts w:cs="Arial"/>
          <w:b/>
        </w:rPr>
        <w:t>People</w:t>
      </w:r>
      <w:r w:rsidR="003A64B1">
        <w:rPr>
          <w:rFonts w:cs="Arial"/>
          <w:b/>
        </w:rPr>
        <w:t xml:space="preserve"> Services</w:t>
      </w:r>
    </w:p>
    <w:p w:rsidR="00942F9C" w:rsidRPr="00737F1C" w:rsidRDefault="00942F9C">
      <w:pPr>
        <w:ind w:right="304"/>
        <w:jc w:val="both"/>
        <w:rPr>
          <w:rFonts w:cs="Arial"/>
          <w:b/>
        </w:rPr>
      </w:pPr>
    </w:p>
    <w:p w:rsidR="00732572" w:rsidRDefault="000F1237" w:rsidP="00AA3B74">
      <w:pPr>
        <w:pStyle w:val="ListParagraph"/>
        <w:numPr>
          <w:ilvl w:val="0"/>
          <w:numId w:val="128"/>
        </w:numPr>
        <w:ind w:left="567" w:right="304" w:hanging="567"/>
        <w:jc w:val="both"/>
        <w:rPr>
          <w:rFonts w:cs="Arial"/>
        </w:rPr>
      </w:pPr>
      <w:r>
        <w:rPr>
          <w:rFonts w:cs="Arial"/>
        </w:rPr>
        <w:t>People</w:t>
      </w:r>
      <w:r w:rsidR="00F602D9">
        <w:rPr>
          <w:rFonts w:cs="Arial"/>
        </w:rPr>
        <w:t xml:space="preserve"> Services</w:t>
      </w:r>
      <w:r>
        <w:rPr>
          <w:rFonts w:cs="Arial"/>
        </w:rPr>
        <w:t xml:space="preserve"> is reporting an </w:t>
      </w:r>
      <w:r w:rsidR="009E2F1D">
        <w:rPr>
          <w:rFonts w:cs="Arial"/>
        </w:rPr>
        <w:t>over</w:t>
      </w:r>
      <w:r w:rsidR="00C14341">
        <w:rPr>
          <w:rFonts w:cs="Arial"/>
        </w:rPr>
        <w:t xml:space="preserve"> spend </w:t>
      </w:r>
      <w:r w:rsidR="00732572" w:rsidRPr="000F0C4F">
        <w:rPr>
          <w:rFonts w:cs="Arial"/>
        </w:rPr>
        <w:t>of £</w:t>
      </w:r>
      <w:r w:rsidR="008B1319">
        <w:rPr>
          <w:rFonts w:cs="Arial"/>
        </w:rPr>
        <w:t>2.07</w:t>
      </w:r>
      <w:r w:rsidR="000C52E1">
        <w:rPr>
          <w:rFonts w:cs="Arial"/>
        </w:rPr>
        <w:t>2</w:t>
      </w:r>
      <w:r w:rsidR="009E2F1D">
        <w:rPr>
          <w:rFonts w:cs="Arial"/>
        </w:rPr>
        <w:t xml:space="preserve">m after </w:t>
      </w:r>
      <w:r w:rsidR="00643905">
        <w:rPr>
          <w:rFonts w:cs="Arial"/>
        </w:rPr>
        <w:t>taking</w:t>
      </w:r>
      <w:r w:rsidR="00A80225">
        <w:rPr>
          <w:rFonts w:cs="Arial"/>
        </w:rPr>
        <w:t xml:space="preserve"> into consideration a carry forward of £</w:t>
      </w:r>
      <w:r w:rsidR="008B1319">
        <w:rPr>
          <w:rFonts w:cs="Arial"/>
        </w:rPr>
        <w:t>0</w:t>
      </w:r>
      <w:r w:rsidR="00A80225">
        <w:rPr>
          <w:rFonts w:cs="Arial"/>
        </w:rPr>
        <w:t>.</w:t>
      </w:r>
      <w:r w:rsidR="008B1319">
        <w:rPr>
          <w:rFonts w:cs="Arial"/>
        </w:rPr>
        <w:t>046</w:t>
      </w:r>
      <w:r w:rsidR="00FB33D7">
        <w:rPr>
          <w:rFonts w:cs="Arial"/>
        </w:rPr>
        <w:t>m</w:t>
      </w:r>
      <w:r w:rsidR="00222B56">
        <w:rPr>
          <w:rFonts w:cs="Arial"/>
        </w:rPr>
        <w:t xml:space="preserve">.  The net </w:t>
      </w:r>
      <w:r w:rsidR="00A80225">
        <w:rPr>
          <w:rFonts w:cs="Arial"/>
        </w:rPr>
        <w:t>over spend</w:t>
      </w:r>
      <w:r w:rsidR="00222B56">
        <w:rPr>
          <w:rFonts w:cs="Arial"/>
        </w:rPr>
        <w:t xml:space="preserve"> of £</w:t>
      </w:r>
      <w:r w:rsidR="008B1319">
        <w:rPr>
          <w:rFonts w:cs="Arial"/>
        </w:rPr>
        <w:t>2.07</w:t>
      </w:r>
      <w:r w:rsidR="00A27E9C">
        <w:rPr>
          <w:rFonts w:cs="Arial"/>
        </w:rPr>
        <w:t>2</w:t>
      </w:r>
      <w:r w:rsidR="00B934A4">
        <w:rPr>
          <w:rFonts w:cs="Arial"/>
        </w:rPr>
        <w:t>m</w:t>
      </w:r>
      <w:r w:rsidR="00222B56">
        <w:rPr>
          <w:rFonts w:cs="Arial"/>
        </w:rPr>
        <w:t xml:space="preserve"> is made up of an over</w:t>
      </w:r>
      <w:r w:rsidR="00F13F53">
        <w:rPr>
          <w:rFonts w:cs="Arial"/>
        </w:rPr>
        <w:t xml:space="preserve"> </w:t>
      </w:r>
      <w:r w:rsidR="00222B56">
        <w:rPr>
          <w:rFonts w:cs="Arial"/>
        </w:rPr>
        <w:t>sp</w:t>
      </w:r>
      <w:r w:rsidR="00512152">
        <w:rPr>
          <w:rFonts w:cs="Arial"/>
        </w:rPr>
        <w:t>end of £</w:t>
      </w:r>
      <w:r w:rsidR="008B1319">
        <w:rPr>
          <w:rFonts w:cs="Arial"/>
        </w:rPr>
        <w:t>0</w:t>
      </w:r>
      <w:r w:rsidR="00A80225">
        <w:rPr>
          <w:rFonts w:cs="Arial"/>
        </w:rPr>
        <w:t>.</w:t>
      </w:r>
      <w:r w:rsidR="008B1319">
        <w:rPr>
          <w:rFonts w:cs="Arial"/>
        </w:rPr>
        <w:t>432</w:t>
      </w:r>
      <w:r w:rsidR="00512152">
        <w:rPr>
          <w:rFonts w:cs="Arial"/>
        </w:rPr>
        <w:t>m on Adults and an</w:t>
      </w:r>
      <w:r w:rsidR="00222B56">
        <w:rPr>
          <w:rFonts w:cs="Arial"/>
        </w:rPr>
        <w:t xml:space="preserve"> over</w:t>
      </w:r>
      <w:r w:rsidR="00F13F53">
        <w:rPr>
          <w:rFonts w:cs="Arial"/>
        </w:rPr>
        <w:t xml:space="preserve"> </w:t>
      </w:r>
      <w:r w:rsidR="00222B56">
        <w:rPr>
          <w:rFonts w:cs="Arial"/>
        </w:rPr>
        <w:t xml:space="preserve">spend of </w:t>
      </w:r>
      <w:r w:rsidR="00F13F53">
        <w:rPr>
          <w:rFonts w:cs="Arial"/>
        </w:rPr>
        <w:t>£</w:t>
      </w:r>
      <w:r w:rsidR="008B1319">
        <w:rPr>
          <w:rFonts w:cs="Arial"/>
        </w:rPr>
        <w:t>1.640</w:t>
      </w:r>
      <w:r w:rsidR="00F13F53">
        <w:rPr>
          <w:rFonts w:cs="Arial"/>
        </w:rPr>
        <w:t xml:space="preserve">m </w:t>
      </w:r>
      <w:r w:rsidR="00CF0F44">
        <w:rPr>
          <w:rFonts w:cs="Arial"/>
        </w:rPr>
        <w:t xml:space="preserve">in </w:t>
      </w:r>
      <w:r w:rsidR="00F602D9">
        <w:rPr>
          <w:rFonts w:cs="Arial"/>
        </w:rPr>
        <w:t>Children’s Services</w:t>
      </w:r>
      <w:r w:rsidR="00F13F53">
        <w:rPr>
          <w:rFonts w:cs="Arial"/>
        </w:rPr>
        <w:t>.</w:t>
      </w:r>
      <w:r w:rsidR="00732572" w:rsidRPr="000F0C4F">
        <w:rPr>
          <w:rFonts w:cs="Arial"/>
        </w:rPr>
        <w:t xml:space="preserve">  The key reasons </w:t>
      </w:r>
      <w:r w:rsidR="00F13F53">
        <w:rPr>
          <w:rFonts w:cs="Arial"/>
        </w:rPr>
        <w:t>for the over spend</w:t>
      </w:r>
      <w:r w:rsidR="00F602D9">
        <w:rPr>
          <w:rFonts w:cs="Arial"/>
        </w:rPr>
        <w:t>s</w:t>
      </w:r>
      <w:r w:rsidR="00F13F53">
        <w:rPr>
          <w:rFonts w:cs="Arial"/>
        </w:rPr>
        <w:t xml:space="preserve"> </w:t>
      </w:r>
      <w:r w:rsidR="00732572" w:rsidRPr="000F0C4F">
        <w:rPr>
          <w:rFonts w:cs="Arial"/>
        </w:rPr>
        <w:t>are detailed below:</w:t>
      </w:r>
    </w:p>
    <w:p w:rsidR="00B54A4A" w:rsidRPr="00AA3B74" w:rsidRDefault="00B54A4A" w:rsidP="00AA3B74">
      <w:pPr>
        <w:pStyle w:val="ListParagraph"/>
        <w:ind w:left="360" w:right="304"/>
        <w:jc w:val="both"/>
        <w:rPr>
          <w:rFonts w:cs="Arial"/>
          <w:b/>
          <w:highlight w:val="yellow"/>
        </w:rPr>
      </w:pPr>
      <w:r w:rsidRPr="00B54A4A">
        <w:rPr>
          <w:rFonts w:cs="Arial"/>
          <w:b/>
        </w:rPr>
        <w:t xml:space="preserve">  </w:t>
      </w:r>
    </w:p>
    <w:p w:rsidR="00B54A4A" w:rsidRPr="00B54A4A" w:rsidRDefault="00B54A4A" w:rsidP="00AA3B74">
      <w:pPr>
        <w:pStyle w:val="ListParagraph"/>
        <w:ind w:left="360" w:right="304"/>
        <w:jc w:val="both"/>
        <w:rPr>
          <w:rFonts w:cs="Arial"/>
          <w:b/>
          <w:highlight w:val="yellow"/>
        </w:rPr>
      </w:pPr>
      <w:r w:rsidRPr="00B54A4A">
        <w:rPr>
          <w:rFonts w:cs="Arial"/>
          <w:b/>
        </w:rPr>
        <w:t>Adult Services</w:t>
      </w:r>
    </w:p>
    <w:p w:rsidR="00B54A4A" w:rsidRDefault="00B54A4A" w:rsidP="00AA3B74">
      <w:pPr>
        <w:pStyle w:val="ListParagraph"/>
        <w:numPr>
          <w:ilvl w:val="0"/>
          <w:numId w:val="128"/>
        </w:numPr>
        <w:ind w:left="567" w:right="304" w:hanging="567"/>
        <w:jc w:val="both"/>
        <w:rPr>
          <w:rFonts w:cs="Arial"/>
        </w:rPr>
      </w:pPr>
      <w:r w:rsidRPr="00B54A4A">
        <w:rPr>
          <w:rFonts w:cs="Arial"/>
        </w:rPr>
        <w:t>Adult Services is reporting an over spend of £0.432m. The key reasons for the over spend are detailed below</w:t>
      </w:r>
      <w:r>
        <w:rPr>
          <w:rFonts w:cs="Arial"/>
        </w:rPr>
        <w:t>:</w:t>
      </w:r>
    </w:p>
    <w:p w:rsidR="006571C0" w:rsidRDefault="006571C0" w:rsidP="00AA3B74">
      <w:pPr>
        <w:pStyle w:val="ListParagraph"/>
        <w:ind w:left="567" w:right="304"/>
        <w:jc w:val="both"/>
        <w:rPr>
          <w:rFonts w:cs="Arial"/>
        </w:rPr>
      </w:pPr>
    </w:p>
    <w:p w:rsidR="00B54A4A" w:rsidRDefault="00991001" w:rsidP="00AA3B74">
      <w:pPr>
        <w:pStyle w:val="ListParagraph"/>
        <w:numPr>
          <w:ilvl w:val="0"/>
          <w:numId w:val="131"/>
        </w:numPr>
        <w:ind w:left="1418" w:hanging="720"/>
        <w:jc w:val="both"/>
      </w:pPr>
      <w:r>
        <w:t>£</w:t>
      </w:r>
      <w:r w:rsidR="00B54A4A">
        <w:t>2.996m in relation to Adult Social Care.  This relates in the main to:</w:t>
      </w:r>
    </w:p>
    <w:p w:rsidR="00B54A4A" w:rsidRDefault="00B54A4A">
      <w:pPr>
        <w:pStyle w:val="ListParagraph"/>
        <w:ind w:left="1440" w:hanging="731"/>
        <w:jc w:val="both"/>
      </w:pPr>
    </w:p>
    <w:p w:rsidR="00B54A4A" w:rsidRDefault="00B54A4A">
      <w:pPr>
        <w:pStyle w:val="ListParagraph"/>
        <w:numPr>
          <w:ilvl w:val="0"/>
          <w:numId w:val="98"/>
        </w:numPr>
        <w:jc w:val="both"/>
      </w:pPr>
      <w:r>
        <w:t>£1.621m relates to the increased cost of adult placement costs reflecting increasing complexities and increases in the discharges from hospital into adult social care, together with an increased requirement to fund aged debt of £0.382m.</w:t>
      </w:r>
    </w:p>
    <w:p w:rsidR="00EA439D" w:rsidRDefault="00EA439D" w:rsidP="00AA3B74">
      <w:pPr>
        <w:pStyle w:val="ListParagraph"/>
        <w:ind w:left="2160"/>
        <w:jc w:val="both"/>
      </w:pPr>
    </w:p>
    <w:p w:rsidR="00B54A4A" w:rsidRDefault="00B54A4A">
      <w:pPr>
        <w:pStyle w:val="ListParagraph"/>
        <w:numPr>
          <w:ilvl w:val="0"/>
          <w:numId w:val="98"/>
        </w:numPr>
        <w:jc w:val="both"/>
      </w:pPr>
      <w:r w:rsidRPr="004C3FC6">
        <w:t>£0.604m relates to children and young adults with disabilities</w:t>
      </w:r>
      <w:r>
        <w:t>.</w:t>
      </w:r>
    </w:p>
    <w:p w:rsidR="00EA439D" w:rsidRDefault="00EA439D" w:rsidP="00AA3B74">
      <w:pPr>
        <w:pStyle w:val="ListParagraph"/>
      </w:pPr>
    </w:p>
    <w:p w:rsidR="00EA439D" w:rsidRDefault="00EA439D" w:rsidP="00AA3B74">
      <w:pPr>
        <w:pStyle w:val="ListParagraph"/>
        <w:ind w:left="2160"/>
        <w:jc w:val="both"/>
      </w:pPr>
    </w:p>
    <w:p w:rsidR="00B54A4A" w:rsidRDefault="00B54A4A">
      <w:pPr>
        <w:pStyle w:val="ListParagraph"/>
        <w:numPr>
          <w:ilvl w:val="0"/>
          <w:numId w:val="98"/>
        </w:numPr>
        <w:jc w:val="both"/>
      </w:pPr>
      <w:r w:rsidRPr="004C3FC6">
        <w:t>£0.565m in relation to Mental Health services managed by Central North West London (CNWL)</w:t>
      </w:r>
      <w:r>
        <w:t>.</w:t>
      </w:r>
    </w:p>
    <w:p w:rsidR="00B54A4A" w:rsidRDefault="00B54A4A">
      <w:pPr>
        <w:pStyle w:val="ListParagraph"/>
        <w:ind w:left="2160"/>
        <w:jc w:val="both"/>
      </w:pPr>
    </w:p>
    <w:p w:rsidR="00EA439D" w:rsidRDefault="00FF6707">
      <w:pPr>
        <w:pStyle w:val="ListParagraph"/>
        <w:ind w:left="1440" w:hanging="720"/>
        <w:jc w:val="both"/>
      </w:pPr>
      <w:r>
        <w:t>•</w:t>
      </w:r>
      <w:r>
        <w:tab/>
        <w:t xml:space="preserve">£0.452m </w:t>
      </w:r>
      <w:r w:rsidR="00EA439D" w:rsidRPr="00EA439D">
        <w:t>reduction in th</w:t>
      </w:r>
      <w:r w:rsidR="00EA439D">
        <w:t>e level of funding for the 2017/</w:t>
      </w:r>
      <w:r w:rsidR="00EA439D" w:rsidRPr="00EA439D">
        <w:t>18 Better Care Fund (BCF) in relation to the protection of social ca</w:t>
      </w:r>
      <w:r w:rsidR="00EA439D">
        <w:t>re (a BCF condition).  The 2017/</w:t>
      </w:r>
      <w:r w:rsidR="00EA439D" w:rsidRPr="00EA439D">
        <w:t>18 budget assumed that the BCF fundin</w:t>
      </w:r>
      <w:r w:rsidR="00EA439D">
        <w:t>g would be consistent with 2016/</w:t>
      </w:r>
      <w:r w:rsidR="00EA439D" w:rsidRPr="00EA439D">
        <w:t>17 levels as assured by the CCG, however following negotiations the CCG were unable to continue this level of funding and as a result the agreed position reflected a reduction to that budgeted</w:t>
      </w:r>
      <w:r w:rsidR="00EA439D">
        <w:t>.</w:t>
      </w:r>
    </w:p>
    <w:p w:rsidR="00B54A4A" w:rsidRDefault="00B54A4A">
      <w:pPr>
        <w:pStyle w:val="ListParagraph"/>
        <w:jc w:val="both"/>
      </w:pPr>
    </w:p>
    <w:p w:rsidR="00B54A4A" w:rsidRDefault="00B54A4A">
      <w:pPr>
        <w:pStyle w:val="ListParagraph"/>
        <w:ind w:left="1440" w:hanging="720"/>
        <w:jc w:val="both"/>
      </w:pPr>
      <w:r>
        <w:t>•</w:t>
      </w:r>
      <w:r>
        <w:tab/>
      </w:r>
      <w:r w:rsidR="005314CD">
        <w:t xml:space="preserve">There is </w:t>
      </w:r>
      <w:r>
        <w:t>£0.932m</w:t>
      </w:r>
      <w:r w:rsidR="005314CD">
        <w:t xml:space="preserve"> over spend </w:t>
      </w:r>
      <w:r>
        <w:t xml:space="preserve">on in-house provided services.   These pressures arise from delays (including those associated with planning and building related issues) associated with the achievement of MTFS savings, including the </w:t>
      </w:r>
      <w:proofErr w:type="spellStart"/>
      <w:r>
        <w:t>Sancroft</w:t>
      </w:r>
      <w:proofErr w:type="spellEnd"/>
      <w:r>
        <w:t xml:space="preserve"> Phoenix project.   This MTFS shortfall has been partially mitigated across the division.</w:t>
      </w:r>
    </w:p>
    <w:p w:rsidR="00B54A4A" w:rsidRDefault="00B54A4A">
      <w:pPr>
        <w:pStyle w:val="ListParagraph"/>
        <w:jc w:val="both"/>
      </w:pPr>
    </w:p>
    <w:p w:rsidR="00B54A4A" w:rsidRDefault="00B54A4A">
      <w:pPr>
        <w:pStyle w:val="ListParagraph"/>
        <w:jc w:val="both"/>
      </w:pPr>
      <w:proofErr w:type="gramStart"/>
      <w:r>
        <w:t>The overspend</w:t>
      </w:r>
      <w:proofErr w:type="gramEnd"/>
      <w:r>
        <w:t xml:space="preserve"> above is </w:t>
      </w:r>
      <w:r w:rsidR="00FF6707">
        <w:t xml:space="preserve">partly </w:t>
      </w:r>
      <w:r>
        <w:t xml:space="preserve">offset by </w:t>
      </w:r>
      <w:r w:rsidR="00FF6707">
        <w:t xml:space="preserve">the following </w:t>
      </w:r>
      <w:r>
        <w:t>underspends</w:t>
      </w:r>
      <w:r w:rsidR="00FF6707">
        <w:t>:</w:t>
      </w:r>
    </w:p>
    <w:p w:rsidR="00B54A4A" w:rsidRDefault="00B54A4A">
      <w:pPr>
        <w:pStyle w:val="ListParagraph"/>
        <w:jc w:val="both"/>
      </w:pPr>
    </w:p>
    <w:p w:rsidR="00B54A4A" w:rsidRDefault="00B54A4A">
      <w:pPr>
        <w:pStyle w:val="ListParagraph"/>
        <w:ind w:left="1440" w:hanging="720"/>
        <w:jc w:val="both"/>
      </w:pPr>
      <w:r>
        <w:t>•</w:t>
      </w:r>
      <w:r>
        <w:tab/>
        <w:t xml:space="preserve">(£3.628m) representing </w:t>
      </w:r>
      <w:r w:rsidR="00F15AE2">
        <w:t xml:space="preserve">the improved better care grant, announced after budget setting </w:t>
      </w:r>
      <w:r>
        <w:t xml:space="preserve"> to fund adult social care and used for the purposes of meeting adult social care needs, reducing pressures on the NHS, including supporting more people to be discharged from hospital when they are ready  and stabilising the social care provider market.</w:t>
      </w:r>
    </w:p>
    <w:p w:rsidR="00B54A4A" w:rsidRDefault="00B54A4A">
      <w:pPr>
        <w:pStyle w:val="ListParagraph"/>
        <w:jc w:val="both"/>
      </w:pPr>
    </w:p>
    <w:p w:rsidR="00B54A4A" w:rsidRDefault="00B54A4A">
      <w:pPr>
        <w:pStyle w:val="ListParagraph"/>
        <w:ind w:left="1440" w:hanging="720"/>
        <w:jc w:val="both"/>
      </w:pPr>
      <w:r>
        <w:t>•</w:t>
      </w:r>
      <w:r>
        <w:tab/>
        <w:t>(£0.022m) Safeguarding quality as</w:t>
      </w:r>
      <w:r w:rsidR="00F749B1">
        <w:t>surance</w:t>
      </w:r>
      <w:r w:rsidR="00394079">
        <w:t xml:space="preserve"> - </w:t>
      </w:r>
      <w:r w:rsidR="00F749B1">
        <w:t xml:space="preserve">underspend </w:t>
      </w:r>
      <w:r>
        <w:t xml:space="preserve">includes </w:t>
      </w:r>
      <w:r w:rsidR="00F749B1">
        <w:t>holding post</w:t>
      </w:r>
      <w:r w:rsidR="00394079">
        <w:t>s vacant</w:t>
      </w:r>
      <w:r w:rsidR="00F749B1">
        <w:t xml:space="preserve"> to mitigate wider pressure</w:t>
      </w:r>
      <w:r>
        <w:t>.</w:t>
      </w:r>
    </w:p>
    <w:p w:rsidR="00B54A4A" w:rsidRDefault="00B54A4A">
      <w:pPr>
        <w:pStyle w:val="ListParagraph"/>
        <w:jc w:val="both"/>
      </w:pPr>
    </w:p>
    <w:p w:rsidR="00B54A4A" w:rsidRDefault="007F74F0">
      <w:pPr>
        <w:pStyle w:val="ListParagraph"/>
        <w:ind w:left="1440" w:hanging="720"/>
        <w:jc w:val="both"/>
      </w:pPr>
      <w:r>
        <w:t>•</w:t>
      </w:r>
      <w:r>
        <w:tab/>
        <w:t>(£0.298m) Strategic Management</w:t>
      </w:r>
      <w:r w:rsidR="00394079">
        <w:t xml:space="preserve"> – this </w:t>
      </w:r>
      <w:r w:rsidR="00B54A4A">
        <w:t>relates to the impact of spen</w:t>
      </w:r>
      <w:r w:rsidR="00494530">
        <w:t xml:space="preserve">ding control reductions across the </w:t>
      </w:r>
      <w:r w:rsidR="00B54A4A">
        <w:t>division held centrally to mitigate wider pressures, an</w:t>
      </w:r>
      <w:r w:rsidR="00494530">
        <w:t>d includes not recruiting to a</w:t>
      </w:r>
      <w:r w:rsidR="00B54A4A">
        <w:t xml:space="preserve"> Head of Service post.</w:t>
      </w:r>
    </w:p>
    <w:p w:rsidR="00B54A4A" w:rsidRDefault="00B54A4A" w:rsidP="00AA3B74">
      <w:pPr>
        <w:jc w:val="both"/>
        <w:rPr>
          <w:rFonts w:eastAsia="Calibri" w:cs="Arial"/>
          <w:b/>
          <w:szCs w:val="24"/>
        </w:rPr>
      </w:pPr>
    </w:p>
    <w:p w:rsidR="002F6A2F" w:rsidRPr="002F6A2F" w:rsidRDefault="002F6A2F" w:rsidP="00AA3B74">
      <w:pPr>
        <w:pStyle w:val="ListParagraph"/>
        <w:suppressAutoHyphens/>
        <w:ind w:left="360"/>
        <w:jc w:val="both"/>
        <w:rPr>
          <w:rFonts w:eastAsia="Calibri" w:cs="Arial"/>
          <w:b/>
          <w:szCs w:val="24"/>
        </w:rPr>
      </w:pPr>
      <w:r w:rsidRPr="002F6A2F">
        <w:rPr>
          <w:rFonts w:eastAsia="Calibri" w:cs="Arial"/>
          <w:b/>
          <w:szCs w:val="24"/>
        </w:rPr>
        <w:t>Children’s Services</w:t>
      </w:r>
    </w:p>
    <w:p w:rsidR="00B63933" w:rsidRDefault="00B63933" w:rsidP="00AA3B74">
      <w:pPr>
        <w:pStyle w:val="ListParagraph"/>
        <w:numPr>
          <w:ilvl w:val="0"/>
          <w:numId w:val="128"/>
        </w:numPr>
        <w:ind w:left="567" w:right="304" w:hanging="567"/>
        <w:jc w:val="both"/>
        <w:rPr>
          <w:rFonts w:cs="Arial"/>
        </w:rPr>
      </w:pPr>
      <w:r w:rsidRPr="00B63933">
        <w:rPr>
          <w:rFonts w:cs="Arial"/>
        </w:rPr>
        <w:t xml:space="preserve">The over spend for the </w:t>
      </w:r>
      <w:r w:rsidR="009C7D65">
        <w:rPr>
          <w:rFonts w:cs="Arial"/>
        </w:rPr>
        <w:t>division</w:t>
      </w:r>
      <w:r w:rsidRPr="00B63933">
        <w:rPr>
          <w:rFonts w:cs="Arial"/>
        </w:rPr>
        <w:t xml:space="preserve"> is £1.640m, after </w:t>
      </w:r>
      <w:r w:rsidR="00494530">
        <w:rPr>
          <w:rFonts w:cs="Arial"/>
        </w:rPr>
        <w:t xml:space="preserve">accounting for </w:t>
      </w:r>
      <w:r w:rsidRPr="00B63933">
        <w:rPr>
          <w:rFonts w:cs="Arial"/>
        </w:rPr>
        <w:t>a carry forward of £0.046m</w:t>
      </w:r>
      <w:r w:rsidR="002F6A2F">
        <w:rPr>
          <w:rFonts w:cs="Arial"/>
        </w:rPr>
        <w:t>.</w:t>
      </w:r>
    </w:p>
    <w:p w:rsidR="00494530" w:rsidRDefault="00494530" w:rsidP="00AA3B74">
      <w:pPr>
        <w:pStyle w:val="ListParagraph"/>
        <w:ind w:left="567" w:right="304"/>
        <w:jc w:val="both"/>
        <w:rPr>
          <w:rFonts w:cs="Arial"/>
        </w:rPr>
      </w:pPr>
    </w:p>
    <w:p w:rsidR="00B63933" w:rsidRDefault="002F6A2F" w:rsidP="00AA3B74">
      <w:pPr>
        <w:pStyle w:val="ListParagraph"/>
        <w:numPr>
          <w:ilvl w:val="0"/>
          <w:numId w:val="128"/>
        </w:numPr>
        <w:ind w:left="567" w:right="304" w:hanging="567"/>
        <w:jc w:val="both"/>
        <w:rPr>
          <w:rFonts w:cs="Arial"/>
        </w:rPr>
      </w:pPr>
      <w:r w:rsidRPr="002F6A2F">
        <w:rPr>
          <w:rFonts w:cs="Arial"/>
        </w:rPr>
        <w:t xml:space="preserve">This is made up of a headline pressure of £2.643m partially offset by one off management actions and additional sources of external funding of (£1.003m) which are not anticipated to </w:t>
      </w:r>
      <w:r w:rsidR="009C7D65" w:rsidRPr="002F6A2F">
        <w:rPr>
          <w:rFonts w:cs="Arial"/>
        </w:rPr>
        <w:t>re</w:t>
      </w:r>
      <w:r w:rsidR="009C7D65">
        <w:rPr>
          <w:rFonts w:cs="Arial"/>
        </w:rPr>
        <w:t>oc</w:t>
      </w:r>
      <w:r w:rsidR="009C7D65" w:rsidRPr="002F6A2F">
        <w:rPr>
          <w:rFonts w:cs="Arial"/>
        </w:rPr>
        <w:t>cur</w:t>
      </w:r>
      <w:r w:rsidRPr="002F6A2F">
        <w:rPr>
          <w:rFonts w:cs="Arial"/>
        </w:rPr>
        <w:t xml:space="preserve"> in future years.</w:t>
      </w:r>
      <w:r w:rsidR="007F74F0">
        <w:rPr>
          <w:rFonts w:cs="Arial"/>
        </w:rPr>
        <w:t xml:space="preserve"> </w:t>
      </w:r>
      <w:r w:rsidRPr="002F6A2F">
        <w:rPr>
          <w:rFonts w:cs="Arial"/>
        </w:rPr>
        <w:t>This is a significantly improved position from the projected net overspend reported at the start of the financial year of £4.1m. This is due to significant management actions and budget oversight which has taken place throughout the year. These are covered in more detail in the following sections</w:t>
      </w:r>
      <w:r>
        <w:rPr>
          <w:rFonts w:cs="Arial"/>
        </w:rPr>
        <w:t>:</w:t>
      </w:r>
    </w:p>
    <w:p w:rsidR="002F6A2F" w:rsidRDefault="002F6A2F" w:rsidP="00AA3B74">
      <w:pPr>
        <w:pStyle w:val="ListParagraph"/>
        <w:ind w:left="360" w:right="304"/>
        <w:jc w:val="both"/>
        <w:rPr>
          <w:rFonts w:cs="Arial"/>
        </w:rPr>
      </w:pPr>
    </w:p>
    <w:p w:rsidR="002F6A2F" w:rsidRPr="002F6A2F" w:rsidRDefault="002F6A2F" w:rsidP="00AA3B74">
      <w:pPr>
        <w:pStyle w:val="ListParagraph"/>
        <w:numPr>
          <w:ilvl w:val="0"/>
          <w:numId w:val="128"/>
        </w:numPr>
        <w:suppressAutoHyphens/>
        <w:ind w:left="567" w:hanging="567"/>
        <w:jc w:val="both"/>
        <w:rPr>
          <w:rFonts w:cs="Arial"/>
          <w:szCs w:val="24"/>
          <w:lang w:eastAsia="ar-SA"/>
        </w:rPr>
      </w:pPr>
      <w:r w:rsidRPr="002F6A2F">
        <w:rPr>
          <w:rFonts w:cs="Arial"/>
          <w:szCs w:val="24"/>
          <w:lang w:eastAsia="ar-SA"/>
        </w:rPr>
        <w:t>The main areas of over spend are detailed below:</w:t>
      </w:r>
    </w:p>
    <w:p w:rsidR="002F6A2F" w:rsidRPr="002F6A2F" w:rsidRDefault="002F6A2F" w:rsidP="00AA3B74">
      <w:pPr>
        <w:pStyle w:val="ListParagraph"/>
        <w:suppressAutoHyphens/>
        <w:ind w:left="360"/>
        <w:jc w:val="both"/>
        <w:rPr>
          <w:rFonts w:cs="Arial"/>
          <w:szCs w:val="24"/>
          <w:highlight w:val="yellow"/>
          <w:lang w:eastAsia="ar-SA"/>
        </w:rPr>
      </w:pPr>
    </w:p>
    <w:p w:rsidR="008A691B" w:rsidRPr="004E7384" w:rsidRDefault="008A691B">
      <w:pPr>
        <w:numPr>
          <w:ilvl w:val="0"/>
          <w:numId w:val="24"/>
        </w:numPr>
        <w:suppressAutoHyphens/>
        <w:jc w:val="both"/>
        <w:rPr>
          <w:rFonts w:cs="Arial"/>
          <w:szCs w:val="24"/>
          <w:lang w:eastAsia="ar-SA"/>
        </w:rPr>
      </w:pPr>
      <w:r w:rsidRPr="004E7384">
        <w:rPr>
          <w:rFonts w:cs="Arial"/>
          <w:b/>
          <w:szCs w:val="24"/>
          <w:lang w:eastAsia="ar-SA"/>
        </w:rPr>
        <w:t>Children’s Placement and Accommodation</w:t>
      </w:r>
      <w:r w:rsidR="00D9620B" w:rsidRPr="004E7384">
        <w:rPr>
          <w:rFonts w:cs="Arial"/>
          <w:b/>
          <w:szCs w:val="24"/>
          <w:lang w:eastAsia="ar-SA"/>
        </w:rPr>
        <w:t xml:space="preserve"> £</w:t>
      </w:r>
      <w:r w:rsidR="00614053" w:rsidRPr="004E7384">
        <w:rPr>
          <w:rFonts w:cs="Arial"/>
          <w:b/>
          <w:szCs w:val="24"/>
          <w:lang w:eastAsia="ar-SA"/>
        </w:rPr>
        <w:t>1</w:t>
      </w:r>
      <w:r w:rsidR="00D9620B" w:rsidRPr="004E7384">
        <w:rPr>
          <w:rFonts w:cs="Arial"/>
          <w:b/>
          <w:szCs w:val="24"/>
          <w:lang w:eastAsia="ar-SA"/>
        </w:rPr>
        <w:t>.</w:t>
      </w:r>
      <w:r w:rsidR="00614053" w:rsidRPr="004E7384">
        <w:rPr>
          <w:rFonts w:cs="Arial"/>
          <w:b/>
          <w:szCs w:val="24"/>
          <w:lang w:eastAsia="ar-SA"/>
        </w:rPr>
        <w:t>8</w:t>
      </w:r>
      <w:r w:rsidRPr="004E7384">
        <w:rPr>
          <w:rFonts w:cs="Arial"/>
          <w:b/>
          <w:szCs w:val="24"/>
          <w:lang w:eastAsia="ar-SA"/>
        </w:rPr>
        <w:t>35</w:t>
      </w:r>
      <w:r w:rsidR="00D9620B" w:rsidRPr="004E7384">
        <w:rPr>
          <w:rFonts w:cs="Arial"/>
          <w:b/>
          <w:szCs w:val="24"/>
          <w:lang w:eastAsia="ar-SA"/>
        </w:rPr>
        <w:t>m overspend</w:t>
      </w:r>
      <w:r w:rsidR="00494530" w:rsidRPr="00AA3B74">
        <w:rPr>
          <w:rFonts w:cs="Arial"/>
          <w:b/>
          <w:szCs w:val="24"/>
          <w:lang w:eastAsia="ar-SA"/>
        </w:rPr>
        <w:t>.</w:t>
      </w:r>
      <w:r w:rsidR="00D9620B" w:rsidRPr="004E7384">
        <w:rPr>
          <w:rFonts w:cs="Arial"/>
          <w:szCs w:val="24"/>
          <w:lang w:eastAsia="ar-SA"/>
        </w:rPr>
        <w:t xml:space="preserve"> </w:t>
      </w:r>
      <w:r w:rsidRPr="004E7384">
        <w:rPr>
          <w:rFonts w:cs="Arial"/>
          <w:szCs w:val="24"/>
          <w:lang w:eastAsia="ar-SA"/>
        </w:rPr>
        <w:t xml:space="preserve">There is an overall reduction of £1.487m from </w:t>
      </w:r>
      <w:proofErr w:type="gramStart"/>
      <w:r w:rsidRPr="004E7384">
        <w:rPr>
          <w:rFonts w:cs="Arial"/>
          <w:szCs w:val="24"/>
          <w:lang w:eastAsia="ar-SA"/>
        </w:rPr>
        <w:t>the overspend</w:t>
      </w:r>
      <w:proofErr w:type="gramEnd"/>
      <w:r w:rsidRPr="004E7384">
        <w:rPr>
          <w:rFonts w:cs="Arial"/>
          <w:szCs w:val="24"/>
          <w:lang w:eastAsia="ar-SA"/>
        </w:rPr>
        <w:t xml:space="preserve"> reported at Month 2 in May 2017. This is due to an overall net reduction of young people in accommodation by 35. Nearly a third of the reduction comes from residential children’s </w:t>
      </w:r>
      <w:r w:rsidR="005314CD" w:rsidRPr="004E7384">
        <w:rPr>
          <w:rFonts w:cs="Arial"/>
          <w:szCs w:val="24"/>
          <w:lang w:eastAsia="ar-SA"/>
        </w:rPr>
        <w:t>homes which are</w:t>
      </w:r>
      <w:r w:rsidRPr="004E7384">
        <w:rPr>
          <w:rFonts w:cs="Arial"/>
          <w:szCs w:val="24"/>
          <w:lang w:eastAsia="ar-SA"/>
        </w:rPr>
        <w:t xml:space="preserve"> the most expensive type of accommodation as well as a reduction in semi-independent and leaving care placements. In house fostering placements have remained consistent and this is one of the most cost effective provisions.</w:t>
      </w:r>
    </w:p>
    <w:p w:rsidR="008A691B" w:rsidRPr="004E7384" w:rsidRDefault="008A691B">
      <w:pPr>
        <w:suppressAutoHyphens/>
        <w:ind w:left="786"/>
        <w:jc w:val="both"/>
        <w:rPr>
          <w:rFonts w:cs="Arial"/>
          <w:b/>
          <w:szCs w:val="24"/>
          <w:lang w:eastAsia="ar-SA"/>
        </w:rPr>
      </w:pPr>
    </w:p>
    <w:p w:rsidR="008A691B" w:rsidRPr="004E7384" w:rsidRDefault="008A691B">
      <w:pPr>
        <w:suppressAutoHyphens/>
        <w:ind w:left="786"/>
        <w:jc w:val="both"/>
        <w:rPr>
          <w:rFonts w:cs="Arial"/>
          <w:szCs w:val="24"/>
          <w:lang w:eastAsia="ar-SA"/>
        </w:rPr>
      </w:pPr>
      <w:r w:rsidRPr="004E7384">
        <w:rPr>
          <w:rFonts w:cs="Arial"/>
          <w:szCs w:val="24"/>
          <w:lang w:eastAsia="ar-SA"/>
        </w:rPr>
        <w:t>A significant amount of work has been undertaken in order to mitigate and monitor spend on children’s placements including the introduction of a number of weekly, monthly and quarterly access to resources and themed tracking and monitoring panels chaired by the Divisional Director.</w:t>
      </w:r>
    </w:p>
    <w:p w:rsidR="008A691B" w:rsidRPr="004E7384" w:rsidRDefault="008A691B">
      <w:pPr>
        <w:suppressAutoHyphens/>
        <w:ind w:left="786"/>
        <w:jc w:val="both"/>
        <w:rPr>
          <w:rFonts w:cs="Arial"/>
          <w:szCs w:val="24"/>
          <w:lang w:eastAsia="ar-SA"/>
        </w:rPr>
      </w:pPr>
    </w:p>
    <w:p w:rsidR="008A691B" w:rsidRPr="004E7384" w:rsidRDefault="008A691B">
      <w:pPr>
        <w:suppressAutoHyphens/>
        <w:ind w:left="786"/>
        <w:jc w:val="both"/>
        <w:rPr>
          <w:rFonts w:cs="Arial"/>
          <w:szCs w:val="24"/>
          <w:lang w:eastAsia="ar-SA"/>
        </w:rPr>
      </w:pPr>
      <w:r w:rsidRPr="004E7384">
        <w:rPr>
          <w:rFonts w:cs="Arial"/>
          <w:szCs w:val="24"/>
          <w:lang w:eastAsia="ar-SA"/>
        </w:rPr>
        <w:t>In addition, the Keeping Families Together Service is now in place, and demonstrating evidence of preventing young people coming into care, whilst also helping some young people to step-down into more cost-effective accommodation.</w:t>
      </w:r>
    </w:p>
    <w:p w:rsidR="008A691B" w:rsidRPr="004E7384" w:rsidRDefault="008A691B">
      <w:pPr>
        <w:suppressAutoHyphens/>
        <w:ind w:left="786"/>
        <w:jc w:val="both"/>
        <w:rPr>
          <w:rFonts w:cs="Arial"/>
          <w:szCs w:val="24"/>
          <w:lang w:eastAsia="ar-SA"/>
        </w:rPr>
      </w:pPr>
    </w:p>
    <w:p w:rsidR="008A691B" w:rsidRDefault="008A691B">
      <w:pPr>
        <w:suppressAutoHyphens/>
        <w:ind w:left="786"/>
        <w:jc w:val="both"/>
        <w:rPr>
          <w:rFonts w:cs="Arial"/>
          <w:szCs w:val="24"/>
          <w:lang w:eastAsia="ar-SA"/>
        </w:rPr>
      </w:pPr>
      <w:r w:rsidRPr="004E7384">
        <w:rPr>
          <w:rFonts w:cs="Arial"/>
          <w:szCs w:val="24"/>
          <w:lang w:eastAsia="ar-SA"/>
        </w:rPr>
        <w:t xml:space="preserve">All of these actions continue to enable the directorate to develop a culture whereby cost management is seen as an integral part of care planning for all practitioners and managers within the </w:t>
      </w:r>
      <w:r w:rsidR="005314CD" w:rsidRPr="004E7384">
        <w:rPr>
          <w:rFonts w:cs="Arial"/>
          <w:szCs w:val="24"/>
          <w:lang w:eastAsia="ar-SA"/>
        </w:rPr>
        <w:t>division.</w:t>
      </w:r>
    </w:p>
    <w:p w:rsidR="007D1491" w:rsidRPr="004E7384" w:rsidRDefault="007D1491">
      <w:pPr>
        <w:suppressAutoHyphens/>
        <w:ind w:left="786"/>
        <w:jc w:val="both"/>
        <w:rPr>
          <w:rFonts w:cs="Arial"/>
          <w:szCs w:val="24"/>
          <w:lang w:eastAsia="ar-SA"/>
        </w:rPr>
      </w:pPr>
    </w:p>
    <w:p w:rsidR="008A691B" w:rsidRPr="004E7384" w:rsidRDefault="00D9620B">
      <w:pPr>
        <w:numPr>
          <w:ilvl w:val="0"/>
          <w:numId w:val="24"/>
        </w:numPr>
        <w:suppressAutoHyphens/>
        <w:jc w:val="both"/>
        <w:rPr>
          <w:rFonts w:cs="Arial"/>
          <w:szCs w:val="24"/>
          <w:lang w:eastAsia="ar-SA"/>
        </w:rPr>
      </w:pPr>
      <w:r w:rsidRPr="004E7384">
        <w:rPr>
          <w:rFonts w:cs="Arial"/>
          <w:b/>
          <w:szCs w:val="24"/>
          <w:lang w:eastAsia="ar-SA"/>
        </w:rPr>
        <w:t xml:space="preserve">Children and Young People’s Service </w:t>
      </w:r>
      <w:r w:rsidR="008A691B" w:rsidRPr="004E7384">
        <w:rPr>
          <w:rFonts w:cs="Arial"/>
          <w:b/>
          <w:szCs w:val="24"/>
          <w:lang w:eastAsia="ar-SA"/>
        </w:rPr>
        <w:t>Frontline Teams</w:t>
      </w:r>
      <w:r w:rsidRPr="004E7384">
        <w:rPr>
          <w:rFonts w:cs="Arial"/>
          <w:b/>
          <w:szCs w:val="24"/>
          <w:lang w:eastAsia="ar-SA"/>
        </w:rPr>
        <w:t xml:space="preserve"> £</w:t>
      </w:r>
      <w:r w:rsidR="008A691B" w:rsidRPr="004E7384">
        <w:rPr>
          <w:rFonts w:cs="Arial"/>
          <w:b/>
          <w:szCs w:val="24"/>
          <w:lang w:eastAsia="ar-SA"/>
        </w:rPr>
        <w:t>0</w:t>
      </w:r>
      <w:r w:rsidR="00AD6760" w:rsidRPr="004E7384">
        <w:rPr>
          <w:rFonts w:cs="Arial"/>
          <w:b/>
          <w:szCs w:val="24"/>
          <w:lang w:eastAsia="ar-SA"/>
        </w:rPr>
        <w:t>.</w:t>
      </w:r>
      <w:r w:rsidR="008A691B" w:rsidRPr="004E7384">
        <w:rPr>
          <w:rFonts w:cs="Arial"/>
          <w:b/>
          <w:szCs w:val="24"/>
          <w:lang w:eastAsia="ar-SA"/>
        </w:rPr>
        <w:t>177</w:t>
      </w:r>
      <w:r w:rsidRPr="004E7384">
        <w:rPr>
          <w:rFonts w:cs="Arial"/>
          <w:b/>
          <w:szCs w:val="24"/>
          <w:lang w:eastAsia="ar-SA"/>
        </w:rPr>
        <w:t>m</w:t>
      </w:r>
      <w:r w:rsidR="00AD6760" w:rsidRPr="004E7384">
        <w:rPr>
          <w:rFonts w:cs="Arial"/>
          <w:b/>
          <w:szCs w:val="24"/>
          <w:lang w:eastAsia="ar-SA"/>
        </w:rPr>
        <w:t xml:space="preserve"> overspend</w:t>
      </w:r>
      <w:r w:rsidR="00494530">
        <w:rPr>
          <w:rFonts w:cs="Arial"/>
          <w:b/>
          <w:szCs w:val="24"/>
          <w:lang w:eastAsia="ar-SA"/>
        </w:rPr>
        <w:t>.</w:t>
      </w:r>
      <w:r w:rsidR="00AD6760" w:rsidRPr="004E7384">
        <w:rPr>
          <w:rFonts w:cs="Arial"/>
          <w:szCs w:val="24"/>
          <w:lang w:eastAsia="ar-SA"/>
        </w:rPr>
        <w:t xml:space="preserve"> </w:t>
      </w:r>
      <w:r w:rsidR="008A691B" w:rsidRPr="004E7384">
        <w:rPr>
          <w:rFonts w:cs="Arial"/>
          <w:szCs w:val="24"/>
          <w:lang w:eastAsia="ar-SA"/>
        </w:rPr>
        <w:t>The main pressure is as a result of agency staff covering vacant posts, sickness and maternity together with ‘as and when’ required staff carrying out supervised contact. This is a reduction from the pressure reported at the start of the year of £</w:t>
      </w:r>
      <w:r w:rsidR="00A27E9C">
        <w:rPr>
          <w:rFonts w:cs="Arial"/>
          <w:szCs w:val="24"/>
          <w:lang w:eastAsia="ar-SA"/>
        </w:rPr>
        <w:t>0.</w:t>
      </w:r>
      <w:r w:rsidR="008A691B" w:rsidRPr="004E7384">
        <w:rPr>
          <w:rFonts w:cs="Arial"/>
          <w:szCs w:val="24"/>
          <w:lang w:eastAsia="ar-SA"/>
        </w:rPr>
        <w:t>205</w:t>
      </w:r>
      <w:r w:rsidR="00A27E9C">
        <w:rPr>
          <w:rFonts w:cs="Arial"/>
          <w:szCs w:val="24"/>
          <w:lang w:eastAsia="ar-SA"/>
        </w:rPr>
        <w:t>m</w:t>
      </w:r>
      <w:r w:rsidR="008A691B" w:rsidRPr="004E7384">
        <w:rPr>
          <w:rFonts w:cs="Arial"/>
          <w:szCs w:val="24"/>
          <w:lang w:eastAsia="ar-SA"/>
        </w:rPr>
        <w:t>.</w:t>
      </w:r>
    </w:p>
    <w:p w:rsidR="008A691B" w:rsidRPr="004E7384" w:rsidRDefault="008A691B">
      <w:pPr>
        <w:pStyle w:val="ListParagraph"/>
        <w:jc w:val="both"/>
        <w:rPr>
          <w:rFonts w:cs="Arial"/>
          <w:szCs w:val="24"/>
          <w:lang w:eastAsia="ar-SA"/>
        </w:rPr>
      </w:pPr>
    </w:p>
    <w:p w:rsidR="008A691B" w:rsidRPr="004E7384" w:rsidRDefault="008A691B">
      <w:pPr>
        <w:suppressAutoHyphens/>
        <w:ind w:left="786"/>
        <w:jc w:val="both"/>
        <w:rPr>
          <w:rFonts w:cs="Arial"/>
          <w:szCs w:val="24"/>
          <w:lang w:eastAsia="ar-SA"/>
        </w:rPr>
      </w:pPr>
      <w:r w:rsidRPr="004E7384">
        <w:rPr>
          <w:rFonts w:cs="Arial"/>
          <w:szCs w:val="24"/>
          <w:lang w:eastAsia="ar-SA"/>
        </w:rPr>
        <w:t>Agency costs have been reduced due to the recruitment of 18 social workers from India who joined at various stages of the year as well as the permanent recruitment of social workers who completed the front-line and step-up programmes.</w:t>
      </w:r>
    </w:p>
    <w:p w:rsidR="008A691B" w:rsidRPr="004E7384" w:rsidRDefault="008A691B">
      <w:pPr>
        <w:pStyle w:val="ListParagraph"/>
        <w:jc w:val="both"/>
        <w:rPr>
          <w:rFonts w:cs="Arial"/>
          <w:szCs w:val="24"/>
          <w:lang w:eastAsia="ar-SA"/>
        </w:rPr>
      </w:pPr>
    </w:p>
    <w:p w:rsidR="008A691B" w:rsidRDefault="008A691B">
      <w:pPr>
        <w:suppressAutoHyphens/>
        <w:ind w:left="786"/>
        <w:jc w:val="both"/>
        <w:rPr>
          <w:rFonts w:cs="Arial"/>
          <w:szCs w:val="24"/>
          <w:lang w:eastAsia="ar-SA"/>
        </w:rPr>
      </w:pPr>
      <w:r w:rsidRPr="004E7384">
        <w:rPr>
          <w:rFonts w:cs="Arial"/>
          <w:szCs w:val="24"/>
          <w:lang w:eastAsia="ar-SA"/>
        </w:rPr>
        <w:t>Whilst the reduction in overspend has been significantly reduced throughout the year it is anticipated that there will always be a pressure on staffing since the full establishment is required to be filled in order to safely maintain service delivery. However this will be kept to a minimum through continued recruitment of permanent staff to vacant posts.</w:t>
      </w:r>
    </w:p>
    <w:p w:rsidR="00240F7C" w:rsidRDefault="00240F7C">
      <w:pPr>
        <w:suppressAutoHyphens/>
        <w:ind w:left="786"/>
        <w:jc w:val="both"/>
        <w:rPr>
          <w:rFonts w:cs="Arial"/>
          <w:szCs w:val="24"/>
          <w:lang w:eastAsia="ar-SA"/>
        </w:rPr>
      </w:pPr>
    </w:p>
    <w:p w:rsidR="00240F7C" w:rsidRPr="004E7384" w:rsidRDefault="00240F7C">
      <w:pPr>
        <w:numPr>
          <w:ilvl w:val="0"/>
          <w:numId w:val="24"/>
        </w:numPr>
        <w:suppressAutoHyphens/>
        <w:jc w:val="both"/>
        <w:rPr>
          <w:rFonts w:cs="Arial"/>
          <w:szCs w:val="24"/>
          <w:lang w:eastAsia="ar-SA"/>
        </w:rPr>
      </w:pPr>
      <w:r w:rsidRPr="0042758F">
        <w:rPr>
          <w:rFonts w:cs="Arial"/>
          <w:b/>
        </w:rPr>
        <w:t>Capital Team £</w:t>
      </w:r>
      <w:r w:rsidR="007E0A90" w:rsidRPr="0042758F">
        <w:rPr>
          <w:rFonts w:cs="Arial"/>
          <w:b/>
        </w:rPr>
        <w:t>0.</w:t>
      </w:r>
      <w:r w:rsidRPr="0042758F">
        <w:rPr>
          <w:rFonts w:cs="Arial"/>
          <w:b/>
        </w:rPr>
        <w:t>228</w:t>
      </w:r>
      <w:r w:rsidR="007E0A90" w:rsidRPr="0042758F">
        <w:rPr>
          <w:rFonts w:cs="Arial"/>
          <w:b/>
        </w:rPr>
        <w:t>m</w:t>
      </w:r>
      <w:r w:rsidRPr="0042758F">
        <w:rPr>
          <w:rFonts w:cs="Arial"/>
          <w:b/>
        </w:rPr>
        <w:t xml:space="preserve"> overspend</w:t>
      </w:r>
      <w:r w:rsidR="00494530">
        <w:rPr>
          <w:rFonts w:cs="Arial"/>
          <w:b/>
        </w:rPr>
        <w:t xml:space="preserve">. </w:t>
      </w:r>
      <w:r w:rsidRPr="0042758F">
        <w:rPr>
          <w:rFonts w:cs="Arial"/>
        </w:rPr>
        <w:t>The overspend relates to costs for external legal services and external commercial and technical advice services in relation to continued efforts to close the accounts for School Expansion Programme phase 2 (SEP2).</w:t>
      </w:r>
    </w:p>
    <w:p w:rsidR="00240F7C" w:rsidRPr="004E7384" w:rsidRDefault="00240F7C">
      <w:pPr>
        <w:suppressAutoHyphens/>
        <w:ind w:left="786"/>
        <w:jc w:val="both"/>
        <w:rPr>
          <w:rFonts w:cs="Arial"/>
          <w:szCs w:val="24"/>
          <w:lang w:eastAsia="ar-SA"/>
        </w:rPr>
      </w:pPr>
    </w:p>
    <w:p w:rsidR="00240F7C" w:rsidRPr="004E7384" w:rsidRDefault="00240F7C">
      <w:pPr>
        <w:numPr>
          <w:ilvl w:val="0"/>
          <w:numId w:val="24"/>
        </w:numPr>
        <w:suppressAutoHyphens/>
        <w:jc w:val="both"/>
        <w:rPr>
          <w:rFonts w:cs="Arial"/>
          <w:szCs w:val="24"/>
          <w:lang w:eastAsia="ar-SA"/>
        </w:rPr>
      </w:pPr>
      <w:r w:rsidRPr="0042758F">
        <w:rPr>
          <w:rFonts w:cs="Arial"/>
          <w:b/>
        </w:rPr>
        <w:t>Harrow School Improvement Partnership £</w:t>
      </w:r>
      <w:r w:rsidR="007E0A90" w:rsidRPr="0042758F">
        <w:rPr>
          <w:rFonts w:cs="Arial"/>
          <w:b/>
        </w:rPr>
        <w:t>0.</w:t>
      </w:r>
      <w:r w:rsidRPr="0042758F">
        <w:rPr>
          <w:rFonts w:cs="Arial"/>
          <w:b/>
        </w:rPr>
        <w:t>226</w:t>
      </w:r>
      <w:r w:rsidR="007E0A90" w:rsidRPr="0042758F">
        <w:rPr>
          <w:rFonts w:cs="Arial"/>
          <w:b/>
        </w:rPr>
        <w:t>m</w:t>
      </w:r>
      <w:r w:rsidRPr="0042758F">
        <w:rPr>
          <w:rFonts w:cs="Arial"/>
          <w:b/>
        </w:rPr>
        <w:t xml:space="preserve"> </w:t>
      </w:r>
      <w:proofErr w:type="gramStart"/>
      <w:r w:rsidRPr="0042758F">
        <w:rPr>
          <w:rFonts w:cs="Arial"/>
          <w:b/>
        </w:rPr>
        <w:t>overspend</w:t>
      </w:r>
      <w:proofErr w:type="gramEnd"/>
      <w:r w:rsidR="00494530">
        <w:rPr>
          <w:rFonts w:cs="Arial"/>
          <w:b/>
        </w:rPr>
        <w:t xml:space="preserve">. </w:t>
      </w:r>
      <w:r w:rsidRPr="0042758F">
        <w:rPr>
          <w:rFonts w:cs="Arial"/>
        </w:rPr>
        <w:t xml:space="preserve">There has been shortfall of income in the Harrow School Improvement Partnership which is required to generate external funding, primarily from schools, to recover the full cost of running the service. As a result of this the model for School Improvement has been redesigned and the new structure comes into place in August 2018. </w:t>
      </w:r>
    </w:p>
    <w:p w:rsidR="00240F7C" w:rsidRPr="004E7384" w:rsidRDefault="00240F7C">
      <w:pPr>
        <w:pStyle w:val="ListParagraph"/>
        <w:jc w:val="both"/>
        <w:rPr>
          <w:rFonts w:cs="Arial"/>
          <w:szCs w:val="24"/>
          <w:lang w:eastAsia="ar-SA"/>
        </w:rPr>
      </w:pPr>
    </w:p>
    <w:p w:rsidR="00240F7C" w:rsidRPr="004E7384" w:rsidRDefault="00240F7C">
      <w:pPr>
        <w:numPr>
          <w:ilvl w:val="0"/>
          <w:numId w:val="24"/>
        </w:numPr>
        <w:suppressAutoHyphens/>
        <w:jc w:val="both"/>
        <w:rPr>
          <w:rFonts w:cs="Arial"/>
          <w:szCs w:val="24"/>
          <w:lang w:eastAsia="ar-SA"/>
        </w:rPr>
      </w:pPr>
      <w:r w:rsidRPr="004E7384">
        <w:rPr>
          <w:rFonts w:cs="Arial"/>
          <w:b/>
          <w:szCs w:val="24"/>
          <w:lang w:eastAsia="ar-SA"/>
        </w:rPr>
        <w:t>Signers and Interpreters Fees £</w:t>
      </w:r>
      <w:r w:rsidR="007E0A90">
        <w:rPr>
          <w:rFonts w:cs="Arial"/>
          <w:b/>
          <w:szCs w:val="24"/>
          <w:lang w:eastAsia="ar-SA"/>
        </w:rPr>
        <w:t>0.0</w:t>
      </w:r>
      <w:r w:rsidRPr="004E7384">
        <w:rPr>
          <w:rFonts w:cs="Arial"/>
          <w:b/>
          <w:szCs w:val="24"/>
          <w:lang w:eastAsia="ar-SA"/>
        </w:rPr>
        <w:t>75</w:t>
      </w:r>
      <w:r w:rsidR="007E0A90">
        <w:rPr>
          <w:rFonts w:cs="Arial"/>
          <w:b/>
          <w:szCs w:val="24"/>
          <w:lang w:eastAsia="ar-SA"/>
        </w:rPr>
        <w:t>m</w:t>
      </w:r>
      <w:r w:rsidRPr="004E7384">
        <w:rPr>
          <w:rFonts w:cs="Arial"/>
          <w:b/>
          <w:szCs w:val="24"/>
          <w:lang w:eastAsia="ar-SA"/>
        </w:rPr>
        <w:t xml:space="preserve"> overspend.</w:t>
      </w:r>
    </w:p>
    <w:p w:rsidR="00240F7C" w:rsidRDefault="00240F7C">
      <w:pPr>
        <w:suppressAutoHyphens/>
        <w:ind w:left="709"/>
        <w:jc w:val="both"/>
        <w:rPr>
          <w:rFonts w:cs="Arial"/>
        </w:rPr>
      </w:pPr>
    </w:p>
    <w:p w:rsidR="002F6A2F" w:rsidRPr="002F6A2F" w:rsidRDefault="002F6A2F" w:rsidP="00AA3B74">
      <w:pPr>
        <w:pStyle w:val="ListParagraph"/>
        <w:numPr>
          <w:ilvl w:val="0"/>
          <w:numId w:val="128"/>
        </w:numPr>
        <w:suppressAutoHyphens/>
        <w:ind w:left="567" w:hanging="567"/>
        <w:jc w:val="both"/>
        <w:rPr>
          <w:rFonts w:cs="Arial"/>
        </w:rPr>
      </w:pPr>
      <w:r w:rsidRPr="002F6A2F">
        <w:rPr>
          <w:rFonts w:cs="Arial"/>
        </w:rPr>
        <w:t xml:space="preserve">The above is </w:t>
      </w:r>
      <w:r w:rsidR="00494530">
        <w:rPr>
          <w:rFonts w:cs="Arial"/>
        </w:rPr>
        <w:t xml:space="preserve">partly </w:t>
      </w:r>
      <w:r w:rsidRPr="002F6A2F">
        <w:rPr>
          <w:rFonts w:cs="Arial"/>
        </w:rPr>
        <w:t>offset by under spends listed below</w:t>
      </w:r>
      <w:r>
        <w:rPr>
          <w:rFonts w:cs="Arial"/>
        </w:rPr>
        <w:t>:</w:t>
      </w:r>
    </w:p>
    <w:p w:rsidR="002F6A2F" w:rsidRPr="002F6A2F" w:rsidRDefault="002F6A2F" w:rsidP="00AA3B74">
      <w:pPr>
        <w:pStyle w:val="ListParagraph"/>
        <w:suppressAutoHyphens/>
        <w:ind w:left="709"/>
        <w:jc w:val="both"/>
        <w:rPr>
          <w:rFonts w:cs="Arial"/>
        </w:rPr>
      </w:pPr>
    </w:p>
    <w:p w:rsidR="00240F7C" w:rsidRPr="00240F7C" w:rsidRDefault="00240F7C">
      <w:pPr>
        <w:numPr>
          <w:ilvl w:val="0"/>
          <w:numId w:val="24"/>
        </w:numPr>
        <w:suppressAutoHyphens/>
        <w:jc w:val="both"/>
        <w:rPr>
          <w:rFonts w:cs="Arial"/>
          <w:szCs w:val="24"/>
          <w:lang w:eastAsia="ar-SA"/>
        </w:rPr>
      </w:pPr>
      <w:r w:rsidRPr="004E7384">
        <w:rPr>
          <w:rFonts w:cs="Arial"/>
          <w:b/>
          <w:szCs w:val="24"/>
          <w:lang w:eastAsia="ar-SA"/>
        </w:rPr>
        <w:t xml:space="preserve">Families with No Recourse to Public Funds and Section 17 </w:t>
      </w:r>
      <w:r w:rsidR="00A27E9C">
        <w:rPr>
          <w:rFonts w:cs="Arial"/>
          <w:b/>
          <w:szCs w:val="24"/>
          <w:lang w:eastAsia="ar-SA"/>
        </w:rPr>
        <w:t>(</w:t>
      </w:r>
      <w:r w:rsidRPr="004E7384">
        <w:rPr>
          <w:rFonts w:cs="Arial"/>
          <w:b/>
          <w:szCs w:val="24"/>
          <w:lang w:eastAsia="ar-SA"/>
        </w:rPr>
        <w:t>£</w:t>
      </w:r>
      <w:r w:rsidR="007E0A90">
        <w:rPr>
          <w:rFonts w:cs="Arial"/>
          <w:b/>
          <w:szCs w:val="24"/>
          <w:lang w:eastAsia="ar-SA"/>
        </w:rPr>
        <w:t>0.</w:t>
      </w:r>
      <w:r w:rsidRPr="004E7384">
        <w:rPr>
          <w:rFonts w:cs="Arial"/>
          <w:b/>
          <w:szCs w:val="24"/>
          <w:lang w:eastAsia="ar-SA"/>
        </w:rPr>
        <w:t>206</w:t>
      </w:r>
      <w:r w:rsidR="007E0A90">
        <w:rPr>
          <w:rFonts w:cs="Arial"/>
          <w:b/>
          <w:szCs w:val="24"/>
          <w:lang w:eastAsia="ar-SA"/>
        </w:rPr>
        <w:t>m</w:t>
      </w:r>
      <w:r w:rsidR="00A27E9C">
        <w:rPr>
          <w:rFonts w:cs="Arial"/>
          <w:b/>
          <w:szCs w:val="24"/>
          <w:lang w:eastAsia="ar-SA"/>
        </w:rPr>
        <w:t>)</w:t>
      </w:r>
      <w:r w:rsidRPr="004E7384">
        <w:rPr>
          <w:rFonts w:cs="Arial"/>
          <w:b/>
          <w:szCs w:val="24"/>
          <w:lang w:eastAsia="ar-SA"/>
        </w:rPr>
        <w:t xml:space="preserve"> underspen</w:t>
      </w:r>
      <w:r w:rsidR="00494530" w:rsidRPr="00AA3B74">
        <w:rPr>
          <w:rFonts w:cs="Arial"/>
          <w:b/>
          <w:szCs w:val="24"/>
          <w:lang w:eastAsia="ar-SA"/>
        </w:rPr>
        <w:t>d.</w:t>
      </w:r>
      <w:r>
        <w:rPr>
          <w:rFonts w:cs="Arial"/>
          <w:szCs w:val="24"/>
          <w:lang w:eastAsia="ar-SA"/>
        </w:rPr>
        <w:t xml:space="preserve"> </w:t>
      </w:r>
      <w:r w:rsidRPr="00240F7C">
        <w:rPr>
          <w:rFonts w:cs="Arial"/>
          <w:szCs w:val="24"/>
          <w:lang w:eastAsia="ar-SA"/>
        </w:rPr>
        <w:t xml:space="preserve">Expenditure relates to families being supported by the Council because they have no recourse to public funds (NRPF).   The welfare reforms, along with stricter enforcement of Asylum Legislation are the main causal factors for this demand, which is unpredictable in terms of volume and costs. The exit routes for ceasing funding are dependent on variable factors, many of which cannot be controlled by the Council. </w:t>
      </w:r>
    </w:p>
    <w:p w:rsidR="00240F7C" w:rsidRDefault="00240F7C">
      <w:pPr>
        <w:suppressAutoHyphens/>
        <w:ind w:left="786"/>
        <w:jc w:val="both"/>
        <w:rPr>
          <w:rFonts w:cs="Arial"/>
          <w:szCs w:val="24"/>
          <w:lang w:eastAsia="ar-SA"/>
        </w:rPr>
      </w:pPr>
      <w:r w:rsidRPr="00240F7C">
        <w:rPr>
          <w:rFonts w:cs="Arial"/>
          <w:szCs w:val="24"/>
          <w:lang w:eastAsia="ar-SA"/>
        </w:rPr>
        <w:t>This budget also provides support and subsistence payments to children in need. The total expenditure on these families was £</w:t>
      </w:r>
      <w:r w:rsidR="007E0A90">
        <w:rPr>
          <w:rFonts w:cs="Arial"/>
          <w:szCs w:val="24"/>
          <w:lang w:eastAsia="ar-SA"/>
        </w:rPr>
        <w:t>0.</w:t>
      </w:r>
      <w:r w:rsidRPr="00240F7C">
        <w:rPr>
          <w:rFonts w:cs="Arial"/>
          <w:szCs w:val="24"/>
          <w:lang w:eastAsia="ar-SA"/>
        </w:rPr>
        <w:t>727</w:t>
      </w:r>
      <w:r w:rsidR="007E0A90">
        <w:rPr>
          <w:rFonts w:cs="Arial"/>
          <w:szCs w:val="24"/>
          <w:lang w:eastAsia="ar-SA"/>
        </w:rPr>
        <w:t>m</w:t>
      </w:r>
      <w:r w:rsidRPr="00240F7C">
        <w:rPr>
          <w:rFonts w:cs="Arial"/>
          <w:szCs w:val="24"/>
          <w:lang w:eastAsia="ar-SA"/>
        </w:rPr>
        <w:t>. This is a reduction of £</w:t>
      </w:r>
      <w:r w:rsidR="007E0A90">
        <w:rPr>
          <w:rFonts w:cs="Arial"/>
          <w:szCs w:val="24"/>
          <w:lang w:eastAsia="ar-SA"/>
        </w:rPr>
        <w:t>0.</w:t>
      </w:r>
      <w:r w:rsidRPr="00240F7C">
        <w:rPr>
          <w:rFonts w:cs="Arial"/>
          <w:szCs w:val="24"/>
          <w:lang w:eastAsia="ar-SA"/>
        </w:rPr>
        <w:t>280</w:t>
      </w:r>
      <w:r w:rsidR="007E0A90">
        <w:rPr>
          <w:rFonts w:cs="Arial"/>
          <w:szCs w:val="24"/>
          <w:lang w:eastAsia="ar-SA"/>
        </w:rPr>
        <w:t>m</w:t>
      </w:r>
      <w:r w:rsidRPr="00240F7C">
        <w:rPr>
          <w:rFonts w:cs="Arial"/>
          <w:szCs w:val="24"/>
          <w:lang w:eastAsia="ar-SA"/>
        </w:rPr>
        <w:t xml:space="preserve"> from the pressure reported at the start of the ye</w:t>
      </w:r>
      <w:r w:rsidR="00A9763F">
        <w:rPr>
          <w:rFonts w:cs="Arial"/>
          <w:szCs w:val="24"/>
          <w:lang w:eastAsia="ar-SA"/>
        </w:rPr>
        <w:t>ar.</w:t>
      </w:r>
    </w:p>
    <w:p w:rsidR="00A9763F" w:rsidRPr="004E7384" w:rsidRDefault="00A9763F">
      <w:pPr>
        <w:suppressAutoHyphens/>
        <w:ind w:left="786"/>
        <w:jc w:val="both"/>
        <w:rPr>
          <w:rFonts w:cs="Arial"/>
          <w:szCs w:val="24"/>
          <w:highlight w:val="yellow"/>
          <w:lang w:eastAsia="ar-SA"/>
        </w:rPr>
      </w:pPr>
    </w:p>
    <w:p w:rsidR="00A9763F" w:rsidRPr="0042758F" w:rsidRDefault="00A9763F">
      <w:pPr>
        <w:numPr>
          <w:ilvl w:val="0"/>
          <w:numId w:val="24"/>
        </w:numPr>
        <w:suppressAutoHyphens/>
        <w:jc w:val="both"/>
        <w:rPr>
          <w:rFonts w:cs="Arial"/>
          <w:szCs w:val="24"/>
          <w:lang w:eastAsia="ar-SA"/>
        </w:rPr>
      </w:pPr>
      <w:r w:rsidRPr="004E7384">
        <w:rPr>
          <w:rFonts w:cs="Arial"/>
          <w:b/>
          <w:szCs w:val="24"/>
          <w:lang w:eastAsia="ar-SA"/>
        </w:rPr>
        <w:t xml:space="preserve">Departmental Legal Costs </w:t>
      </w:r>
      <w:r w:rsidR="00A27E9C" w:rsidRPr="0042758F">
        <w:rPr>
          <w:rFonts w:cs="Arial"/>
          <w:b/>
          <w:szCs w:val="24"/>
          <w:lang w:eastAsia="ar-SA"/>
        </w:rPr>
        <w:t>(</w:t>
      </w:r>
      <w:r w:rsidRPr="004E7384">
        <w:rPr>
          <w:rFonts w:cs="Arial"/>
          <w:b/>
          <w:szCs w:val="24"/>
          <w:lang w:eastAsia="ar-SA"/>
        </w:rPr>
        <w:t>£</w:t>
      </w:r>
      <w:r w:rsidR="007E0A90" w:rsidRPr="0042758F">
        <w:rPr>
          <w:rFonts w:cs="Arial"/>
          <w:b/>
          <w:szCs w:val="24"/>
          <w:lang w:eastAsia="ar-SA"/>
        </w:rPr>
        <w:t>0.0</w:t>
      </w:r>
      <w:r w:rsidRPr="004E7384">
        <w:rPr>
          <w:rFonts w:cs="Arial"/>
          <w:b/>
          <w:szCs w:val="24"/>
          <w:lang w:eastAsia="ar-SA"/>
        </w:rPr>
        <w:t>82</w:t>
      </w:r>
      <w:r w:rsidR="007E0A90" w:rsidRPr="0042758F">
        <w:rPr>
          <w:rFonts w:cs="Arial"/>
          <w:b/>
          <w:szCs w:val="24"/>
          <w:lang w:eastAsia="ar-SA"/>
        </w:rPr>
        <w:t>m</w:t>
      </w:r>
      <w:r w:rsidR="00A27E9C" w:rsidRPr="0042758F">
        <w:rPr>
          <w:rFonts w:cs="Arial"/>
          <w:b/>
          <w:szCs w:val="24"/>
          <w:lang w:eastAsia="ar-SA"/>
        </w:rPr>
        <w:t>)</w:t>
      </w:r>
      <w:r w:rsidRPr="004E7384">
        <w:rPr>
          <w:rFonts w:cs="Arial"/>
          <w:b/>
          <w:szCs w:val="24"/>
          <w:lang w:eastAsia="ar-SA"/>
        </w:rPr>
        <w:t xml:space="preserve"> underspen</w:t>
      </w:r>
      <w:r w:rsidRPr="00494530">
        <w:rPr>
          <w:rFonts w:cs="Arial"/>
          <w:b/>
          <w:szCs w:val="24"/>
          <w:lang w:eastAsia="ar-SA"/>
        </w:rPr>
        <w:t>d</w:t>
      </w:r>
      <w:r w:rsidR="00494530" w:rsidRPr="00AA3B74">
        <w:rPr>
          <w:rFonts w:cs="Arial"/>
          <w:b/>
          <w:szCs w:val="24"/>
          <w:lang w:eastAsia="ar-SA"/>
        </w:rPr>
        <w:t>.</w:t>
      </w:r>
      <w:r w:rsidRPr="0042758F">
        <w:rPr>
          <w:rFonts w:cs="Arial"/>
          <w:szCs w:val="24"/>
          <w:lang w:eastAsia="ar-SA"/>
        </w:rPr>
        <w:t xml:space="preserve"> At the start of the year the directorate reported a projected overspend in relation to disbursements for barristers, experts, court fees and other expenses in relation to care proceedings, of £</w:t>
      </w:r>
      <w:r w:rsidR="007E0A90" w:rsidRPr="0042758F">
        <w:rPr>
          <w:rFonts w:cs="Arial"/>
          <w:szCs w:val="24"/>
          <w:lang w:eastAsia="ar-SA"/>
        </w:rPr>
        <w:t>0.</w:t>
      </w:r>
      <w:r w:rsidRPr="0042758F">
        <w:rPr>
          <w:rFonts w:cs="Arial"/>
          <w:szCs w:val="24"/>
          <w:lang w:eastAsia="ar-SA"/>
        </w:rPr>
        <w:t>103</w:t>
      </w:r>
      <w:r w:rsidR="007E0A90" w:rsidRPr="0042758F">
        <w:rPr>
          <w:rFonts w:cs="Arial"/>
          <w:szCs w:val="24"/>
          <w:lang w:eastAsia="ar-SA"/>
        </w:rPr>
        <w:t>m</w:t>
      </w:r>
      <w:r w:rsidRPr="0042758F">
        <w:rPr>
          <w:rFonts w:cs="Arial"/>
          <w:szCs w:val="24"/>
          <w:lang w:eastAsia="ar-SA"/>
        </w:rPr>
        <w:t>. This has reduced by £</w:t>
      </w:r>
      <w:r w:rsidR="007E0A90" w:rsidRPr="0042758F">
        <w:rPr>
          <w:rFonts w:cs="Arial"/>
          <w:szCs w:val="24"/>
          <w:lang w:eastAsia="ar-SA"/>
        </w:rPr>
        <w:t>0.</w:t>
      </w:r>
      <w:r w:rsidRPr="0042758F">
        <w:rPr>
          <w:rFonts w:cs="Arial"/>
          <w:szCs w:val="24"/>
          <w:lang w:eastAsia="ar-SA"/>
        </w:rPr>
        <w:t>185</w:t>
      </w:r>
      <w:r w:rsidR="007E0A90" w:rsidRPr="0042758F">
        <w:rPr>
          <w:rFonts w:cs="Arial"/>
          <w:szCs w:val="24"/>
          <w:lang w:eastAsia="ar-SA"/>
        </w:rPr>
        <w:t>m</w:t>
      </w:r>
      <w:r w:rsidRPr="0042758F">
        <w:rPr>
          <w:rFonts w:cs="Arial"/>
          <w:szCs w:val="24"/>
          <w:lang w:eastAsia="ar-SA"/>
        </w:rPr>
        <w:t xml:space="preserve"> by the end of the financial year due to an increase in the number of Public Law Outline (PLO) pre proceedings work by 30%. This is in order to ensure that as much work has been carried out as possible before or instead of the beginning of care proceedings as well as carrying out any necessary assessments and work with the family which may either delay or incur additional costs once the care proceedings have begun.</w:t>
      </w:r>
    </w:p>
    <w:p w:rsidR="00A9763F" w:rsidRPr="004E7384" w:rsidRDefault="00A9763F" w:rsidP="00AA3B74">
      <w:pPr>
        <w:suppressAutoHyphens/>
        <w:ind w:left="786"/>
        <w:jc w:val="both"/>
        <w:rPr>
          <w:rFonts w:cs="Arial"/>
          <w:szCs w:val="24"/>
          <w:highlight w:val="yellow"/>
          <w:lang w:eastAsia="ar-SA"/>
        </w:rPr>
      </w:pPr>
    </w:p>
    <w:p w:rsidR="00A9763F" w:rsidRDefault="00A9763F">
      <w:pPr>
        <w:numPr>
          <w:ilvl w:val="0"/>
          <w:numId w:val="24"/>
        </w:numPr>
        <w:suppressAutoHyphens/>
        <w:jc w:val="both"/>
        <w:rPr>
          <w:rFonts w:cs="Arial"/>
          <w:b/>
          <w:szCs w:val="24"/>
          <w:lang w:eastAsia="ar-SA"/>
        </w:rPr>
      </w:pPr>
      <w:r w:rsidRPr="00A9763F">
        <w:rPr>
          <w:rFonts w:cs="Arial"/>
          <w:b/>
          <w:szCs w:val="24"/>
          <w:lang w:eastAsia="ar-SA"/>
        </w:rPr>
        <w:t xml:space="preserve">SEN Transport </w:t>
      </w:r>
      <w:r w:rsidR="00A27E9C">
        <w:rPr>
          <w:rFonts w:cs="Arial"/>
          <w:b/>
          <w:szCs w:val="24"/>
          <w:lang w:eastAsia="ar-SA"/>
        </w:rPr>
        <w:t>(</w:t>
      </w:r>
      <w:r w:rsidRPr="00A9763F">
        <w:rPr>
          <w:rFonts w:cs="Arial"/>
          <w:b/>
          <w:szCs w:val="24"/>
          <w:lang w:eastAsia="ar-SA"/>
        </w:rPr>
        <w:t>£</w:t>
      </w:r>
      <w:r w:rsidR="007E0A90">
        <w:rPr>
          <w:rFonts w:cs="Arial"/>
          <w:b/>
          <w:szCs w:val="24"/>
          <w:lang w:eastAsia="ar-SA"/>
        </w:rPr>
        <w:t>0.</w:t>
      </w:r>
      <w:r w:rsidR="00FF6902">
        <w:rPr>
          <w:rFonts w:cs="Arial"/>
          <w:b/>
          <w:szCs w:val="24"/>
          <w:lang w:eastAsia="ar-SA"/>
        </w:rPr>
        <w:t>0</w:t>
      </w:r>
      <w:r w:rsidRPr="00A9763F">
        <w:rPr>
          <w:rFonts w:cs="Arial"/>
          <w:b/>
          <w:szCs w:val="24"/>
          <w:lang w:eastAsia="ar-SA"/>
        </w:rPr>
        <w:t>39</w:t>
      </w:r>
      <w:r w:rsidR="007E0A90">
        <w:rPr>
          <w:rFonts w:cs="Arial"/>
          <w:b/>
          <w:szCs w:val="24"/>
          <w:lang w:eastAsia="ar-SA"/>
        </w:rPr>
        <w:t>m</w:t>
      </w:r>
      <w:r w:rsidR="00A27E9C">
        <w:rPr>
          <w:rFonts w:cs="Arial"/>
          <w:b/>
          <w:szCs w:val="24"/>
          <w:lang w:eastAsia="ar-SA"/>
        </w:rPr>
        <w:t>)</w:t>
      </w:r>
      <w:r w:rsidRPr="00A9763F">
        <w:rPr>
          <w:rFonts w:cs="Arial"/>
          <w:b/>
          <w:szCs w:val="24"/>
          <w:lang w:eastAsia="ar-SA"/>
        </w:rPr>
        <w:t xml:space="preserve"> </w:t>
      </w:r>
      <w:r w:rsidR="005314CD" w:rsidRPr="00A9763F">
        <w:rPr>
          <w:rFonts w:cs="Arial"/>
          <w:b/>
          <w:szCs w:val="24"/>
          <w:lang w:eastAsia="ar-SA"/>
        </w:rPr>
        <w:t>underspends</w:t>
      </w:r>
      <w:r w:rsidRPr="00A9763F">
        <w:rPr>
          <w:rFonts w:cs="Arial"/>
          <w:b/>
          <w:szCs w:val="24"/>
          <w:lang w:eastAsia="ar-SA"/>
        </w:rPr>
        <w:t>.</w:t>
      </w:r>
    </w:p>
    <w:p w:rsidR="002A0619" w:rsidRDefault="002A0619">
      <w:pPr>
        <w:pStyle w:val="ListParagraph"/>
        <w:jc w:val="both"/>
        <w:rPr>
          <w:rFonts w:cs="Arial"/>
          <w:b/>
          <w:szCs w:val="24"/>
          <w:lang w:eastAsia="ar-SA"/>
        </w:rPr>
      </w:pPr>
    </w:p>
    <w:p w:rsidR="002A0619" w:rsidRDefault="002A0619">
      <w:pPr>
        <w:numPr>
          <w:ilvl w:val="0"/>
          <w:numId w:val="24"/>
        </w:numPr>
        <w:suppressAutoHyphens/>
        <w:jc w:val="both"/>
        <w:rPr>
          <w:rFonts w:cs="Arial"/>
          <w:szCs w:val="24"/>
          <w:lang w:eastAsia="ar-SA"/>
        </w:rPr>
      </w:pPr>
      <w:r w:rsidRPr="00822042">
        <w:rPr>
          <w:rFonts w:cs="Arial"/>
          <w:b/>
          <w:szCs w:val="24"/>
          <w:lang w:eastAsia="ar-SA"/>
        </w:rPr>
        <w:t xml:space="preserve">External funding and additional management actions </w:t>
      </w:r>
      <w:r w:rsidR="00A27E9C">
        <w:rPr>
          <w:rFonts w:cs="Arial"/>
          <w:b/>
          <w:szCs w:val="24"/>
          <w:lang w:eastAsia="ar-SA"/>
        </w:rPr>
        <w:t>(</w:t>
      </w:r>
      <w:r w:rsidRPr="00822042">
        <w:rPr>
          <w:rFonts w:cs="Arial"/>
          <w:b/>
          <w:szCs w:val="24"/>
          <w:lang w:eastAsia="ar-SA"/>
        </w:rPr>
        <w:t>£</w:t>
      </w:r>
      <w:r>
        <w:rPr>
          <w:rFonts w:cs="Arial"/>
          <w:b/>
          <w:szCs w:val="24"/>
          <w:lang w:eastAsia="ar-SA"/>
        </w:rPr>
        <w:t>0.</w:t>
      </w:r>
      <w:r w:rsidRPr="00822042">
        <w:rPr>
          <w:rFonts w:cs="Arial"/>
          <w:b/>
          <w:szCs w:val="24"/>
          <w:lang w:eastAsia="ar-SA"/>
        </w:rPr>
        <w:t>560</w:t>
      </w:r>
      <w:r>
        <w:rPr>
          <w:rFonts w:cs="Arial"/>
          <w:b/>
          <w:szCs w:val="24"/>
          <w:lang w:eastAsia="ar-SA"/>
        </w:rPr>
        <w:t>m</w:t>
      </w:r>
      <w:r w:rsidR="00A27E9C">
        <w:rPr>
          <w:rFonts w:cs="Arial"/>
          <w:b/>
          <w:szCs w:val="24"/>
          <w:lang w:eastAsia="ar-SA"/>
        </w:rPr>
        <w:t>)</w:t>
      </w:r>
      <w:r w:rsidRPr="00822042">
        <w:rPr>
          <w:rFonts w:cs="Arial"/>
          <w:b/>
          <w:szCs w:val="24"/>
          <w:lang w:eastAsia="ar-SA"/>
        </w:rPr>
        <w:t xml:space="preserve"> underspend</w:t>
      </w:r>
      <w:r w:rsidR="00494530">
        <w:rPr>
          <w:rFonts w:cs="Arial"/>
          <w:b/>
          <w:szCs w:val="24"/>
          <w:lang w:eastAsia="ar-SA"/>
        </w:rPr>
        <w:t>.</w:t>
      </w:r>
      <w:r w:rsidRPr="00822042">
        <w:rPr>
          <w:rFonts w:cs="Arial"/>
          <w:szCs w:val="24"/>
          <w:lang w:eastAsia="ar-SA"/>
        </w:rPr>
        <w:t xml:space="preserve"> These pressures are partially offset by one off management actions totalling £</w:t>
      </w:r>
      <w:r w:rsidR="00A27E9C">
        <w:rPr>
          <w:rFonts w:cs="Arial"/>
          <w:szCs w:val="24"/>
          <w:lang w:eastAsia="ar-SA"/>
        </w:rPr>
        <w:t>0.</w:t>
      </w:r>
      <w:r w:rsidRPr="00822042">
        <w:rPr>
          <w:rFonts w:cs="Arial"/>
          <w:szCs w:val="24"/>
          <w:lang w:eastAsia="ar-SA"/>
        </w:rPr>
        <w:t>160</w:t>
      </w:r>
      <w:r w:rsidR="00A27E9C">
        <w:rPr>
          <w:rFonts w:cs="Arial"/>
          <w:szCs w:val="24"/>
          <w:lang w:eastAsia="ar-SA"/>
        </w:rPr>
        <w:t>m</w:t>
      </w:r>
      <w:r w:rsidRPr="00822042">
        <w:rPr>
          <w:rFonts w:cs="Arial"/>
          <w:szCs w:val="24"/>
          <w:lang w:eastAsia="ar-SA"/>
        </w:rPr>
        <w:t>. In addition to this £</w:t>
      </w:r>
      <w:r w:rsidR="00A27E9C">
        <w:rPr>
          <w:rFonts w:cs="Arial"/>
          <w:szCs w:val="24"/>
          <w:lang w:eastAsia="ar-SA"/>
        </w:rPr>
        <w:t>0.</w:t>
      </w:r>
      <w:r w:rsidRPr="00822042">
        <w:rPr>
          <w:rFonts w:cs="Arial"/>
          <w:szCs w:val="24"/>
          <w:lang w:eastAsia="ar-SA"/>
        </w:rPr>
        <w:t>400</w:t>
      </w:r>
      <w:r w:rsidR="00A27E9C">
        <w:rPr>
          <w:rFonts w:cs="Arial"/>
          <w:szCs w:val="24"/>
          <w:lang w:eastAsia="ar-SA"/>
        </w:rPr>
        <w:t>m</w:t>
      </w:r>
      <w:r w:rsidRPr="00822042">
        <w:rPr>
          <w:rFonts w:cs="Arial"/>
          <w:szCs w:val="24"/>
          <w:lang w:eastAsia="ar-SA"/>
        </w:rPr>
        <w:t xml:space="preserve"> of additional external income has been received including the Controlling Migration Fund grant and the recently announced grant relating to building capacity for unaccompanied asylum seeking children. Both of these are offsetting expenditure already being incurred by the LA.</w:t>
      </w:r>
    </w:p>
    <w:p w:rsidR="002F6A2F" w:rsidRDefault="002F6A2F" w:rsidP="00AA3B74">
      <w:pPr>
        <w:pStyle w:val="ListParagraph"/>
        <w:jc w:val="both"/>
        <w:rPr>
          <w:rFonts w:cs="Arial"/>
          <w:szCs w:val="24"/>
          <w:lang w:eastAsia="ar-SA"/>
        </w:rPr>
      </w:pPr>
    </w:p>
    <w:p w:rsidR="002F6A2F" w:rsidRPr="002F6A2F" w:rsidRDefault="002F6A2F" w:rsidP="00AA3B74">
      <w:pPr>
        <w:pStyle w:val="ListParagraph"/>
        <w:numPr>
          <w:ilvl w:val="0"/>
          <w:numId w:val="128"/>
        </w:numPr>
        <w:suppressAutoHyphens/>
        <w:spacing w:after="200" w:line="276" w:lineRule="auto"/>
        <w:ind w:left="567" w:hanging="567"/>
        <w:jc w:val="both"/>
        <w:rPr>
          <w:rFonts w:cs="Arial"/>
        </w:rPr>
      </w:pPr>
      <w:r w:rsidRPr="002F6A2F">
        <w:rPr>
          <w:rFonts w:cs="Arial"/>
        </w:rPr>
        <w:t>The recommended carry forward for People Services of £0.046m which relates to the SEND Reform Grant in Children’s Services is set out in Appendix 1.</w:t>
      </w:r>
      <w:r w:rsidRPr="002F6A2F" w:rsidDel="00574DAA">
        <w:rPr>
          <w:rFonts w:cs="Arial"/>
        </w:rPr>
        <w:t xml:space="preserve"> </w:t>
      </w:r>
    </w:p>
    <w:p w:rsidR="002F6A2F" w:rsidRPr="00AA3B74" w:rsidRDefault="002F6A2F" w:rsidP="00AA3B74">
      <w:pPr>
        <w:pStyle w:val="ListParagraph"/>
        <w:suppressAutoHyphens/>
        <w:spacing w:after="200" w:line="276" w:lineRule="auto"/>
        <w:ind w:left="374"/>
        <w:jc w:val="both"/>
        <w:rPr>
          <w:rFonts w:cs="Arial"/>
          <w:b/>
          <w:szCs w:val="24"/>
          <w:lang w:eastAsia="ar-SA"/>
        </w:rPr>
      </w:pPr>
    </w:p>
    <w:p w:rsidR="002F6A2F" w:rsidRDefault="002F6A2F">
      <w:pPr>
        <w:pStyle w:val="ListParagraph"/>
        <w:spacing w:after="200" w:line="276" w:lineRule="auto"/>
        <w:ind w:left="374"/>
        <w:jc w:val="both"/>
        <w:rPr>
          <w:rFonts w:cs="Arial"/>
          <w:b/>
          <w:szCs w:val="24"/>
          <w:lang w:eastAsia="ar-SA"/>
        </w:rPr>
      </w:pPr>
      <w:r w:rsidRPr="00CF0F44">
        <w:rPr>
          <w:rFonts w:cs="Arial"/>
          <w:b/>
          <w:szCs w:val="24"/>
          <w:lang w:eastAsia="ar-SA"/>
        </w:rPr>
        <w:t>Public Health</w:t>
      </w:r>
    </w:p>
    <w:p w:rsidR="002F6A2F" w:rsidRPr="00AA3B74" w:rsidRDefault="002F6A2F" w:rsidP="00AA3B74">
      <w:pPr>
        <w:pStyle w:val="ListParagraph"/>
        <w:numPr>
          <w:ilvl w:val="0"/>
          <w:numId w:val="128"/>
        </w:numPr>
        <w:suppressAutoHyphens/>
        <w:spacing w:after="200" w:line="276" w:lineRule="auto"/>
        <w:ind w:left="567" w:hanging="567"/>
        <w:jc w:val="both"/>
        <w:rPr>
          <w:rFonts w:cs="Arial"/>
          <w:b/>
          <w:szCs w:val="24"/>
          <w:lang w:eastAsia="ar-SA"/>
        </w:rPr>
      </w:pPr>
      <w:r>
        <w:rPr>
          <w:rFonts w:cs="Arial"/>
        </w:rPr>
        <w:t xml:space="preserve">  </w:t>
      </w:r>
      <w:r w:rsidRPr="00A93F0E">
        <w:rPr>
          <w:rFonts w:cs="Arial"/>
        </w:rPr>
        <w:t>Public Health is reporting a balanced position at year end</w:t>
      </w:r>
      <w:r>
        <w:rPr>
          <w:rFonts w:cs="Arial"/>
        </w:rPr>
        <w:t>.</w:t>
      </w:r>
    </w:p>
    <w:p w:rsidR="00394079" w:rsidRPr="00AA3B74" w:rsidRDefault="00394079" w:rsidP="00AA3B74">
      <w:pPr>
        <w:pStyle w:val="ListParagraph"/>
        <w:suppressAutoHyphens/>
        <w:spacing w:after="200" w:line="276" w:lineRule="auto"/>
        <w:ind w:left="567"/>
        <w:jc w:val="both"/>
        <w:rPr>
          <w:rFonts w:cs="Arial"/>
          <w:b/>
          <w:szCs w:val="24"/>
          <w:lang w:eastAsia="ar-SA"/>
        </w:rPr>
      </w:pPr>
    </w:p>
    <w:p w:rsidR="00CF0F44" w:rsidRDefault="00CF0F44" w:rsidP="00AA3B74">
      <w:pPr>
        <w:pStyle w:val="ListParagraph"/>
        <w:numPr>
          <w:ilvl w:val="0"/>
          <w:numId w:val="128"/>
        </w:numPr>
        <w:suppressAutoHyphens/>
        <w:spacing w:after="200" w:line="276" w:lineRule="auto"/>
        <w:ind w:left="567" w:hanging="553"/>
        <w:jc w:val="both"/>
        <w:rPr>
          <w:rFonts w:cs="Arial"/>
          <w:szCs w:val="24"/>
          <w:lang w:eastAsia="ar-SA"/>
        </w:rPr>
      </w:pPr>
      <w:r w:rsidRPr="002F6A2F">
        <w:rPr>
          <w:rFonts w:cs="Arial"/>
          <w:szCs w:val="24"/>
          <w:lang w:eastAsia="ar-SA"/>
        </w:rPr>
        <w:t xml:space="preserve"> </w:t>
      </w:r>
      <w:r w:rsidR="002F6A2F" w:rsidRPr="002F6A2F">
        <w:rPr>
          <w:rFonts w:cs="Arial"/>
          <w:szCs w:val="24"/>
          <w:lang w:eastAsia="ar-SA"/>
        </w:rPr>
        <w:t xml:space="preserve">Across the directorate there were lower levels of spend on wider health improvement </w:t>
      </w:r>
      <w:r w:rsidR="000F6B16">
        <w:rPr>
          <w:rFonts w:cs="Arial"/>
          <w:szCs w:val="24"/>
          <w:lang w:eastAsia="ar-SA"/>
        </w:rPr>
        <w:t xml:space="preserve"> </w:t>
      </w:r>
      <w:r w:rsidR="002F6A2F" w:rsidRPr="002F6A2F">
        <w:rPr>
          <w:rFonts w:cs="Arial"/>
          <w:szCs w:val="24"/>
          <w:lang w:eastAsia="ar-SA"/>
        </w:rPr>
        <w:t xml:space="preserve">as a result of the cessation of planned projects and a lower level of </w:t>
      </w:r>
      <w:r w:rsidR="007F74F0">
        <w:rPr>
          <w:rFonts w:cs="Arial"/>
          <w:szCs w:val="24"/>
          <w:lang w:eastAsia="ar-SA"/>
        </w:rPr>
        <w:t xml:space="preserve">spend </w:t>
      </w:r>
      <w:r w:rsidR="002F6A2F" w:rsidRPr="002F6A2F">
        <w:rPr>
          <w:rFonts w:cs="Arial"/>
          <w:szCs w:val="24"/>
          <w:lang w:eastAsia="ar-SA"/>
        </w:rPr>
        <w:t>in relation to statutory demand led open ac</w:t>
      </w:r>
      <w:r w:rsidR="004E50D3">
        <w:rPr>
          <w:rFonts w:cs="Arial"/>
          <w:szCs w:val="24"/>
          <w:lang w:eastAsia="ar-SA"/>
        </w:rPr>
        <w:t>cess sexual health services, which</w:t>
      </w:r>
      <w:r w:rsidR="002F6A2F" w:rsidRPr="002F6A2F">
        <w:rPr>
          <w:rFonts w:cs="Arial"/>
          <w:szCs w:val="24"/>
          <w:lang w:eastAsia="ar-SA"/>
        </w:rPr>
        <w:t xml:space="preserve"> enabled</w:t>
      </w:r>
      <w:r w:rsidR="00494530">
        <w:rPr>
          <w:rFonts w:cs="Arial"/>
          <w:szCs w:val="24"/>
          <w:lang w:eastAsia="ar-SA"/>
        </w:rPr>
        <w:t xml:space="preserve"> an increase in the public health reserve of £1.079m</w:t>
      </w:r>
      <w:r w:rsidR="002F6A2F" w:rsidRPr="002F6A2F">
        <w:rPr>
          <w:rFonts w:cs="Arial"/>
          <w:szCs w:val="24"/>
          <w:lang w:eastAsia="ar-SA"/>
        </w:rPr>
        <w:t>.  As the grant is ring</w:t>
      </w:r>
      <w:r w:rsidR="00BE2DC6">
        <w:rPr>
          <w:rFonts w:cs="Arial"/>
          <w:szCs w:val="24"/>
          <w:lang w:eastAsia="ar-SA"/>
        </w:rPr>
        <w:t xml:space="preserve"> </w:t>
      </w:r>
      <w:r w:rsidR="002F6A2F" w:rsidRPr="002F6A2F">
        <w:rPr>
          <w:rFonts w:cs="Arial"/>
          <w:szCs w:val="24"/>
          <w:lang w:eastAsia="ar-SA"/>
        </w:rPr>
        <w:t xml:space="preserve">fenced, this lower level of expenditure enabled a contribution towards the specific public health reserve of </w:t>
      </w:r>
      <w:r w:rsidR="00494530">
        <w:rPr>
          <w:rFonts w:cs="Arial"/>
          <w:szCs w:val="24"/>
          <w:lang w:eastAsia="ar-SA"/>
        </w:rPr>
        <w:t>£1.079m which</w:t>
      </w:r>
      <w:r w:rsidR="002F6A2F" w:rsidRPr="002F6A2F">
        <w:rPr>
          <w:rFonts w:cs="Arial"/>
          <w:szCs w:val="24"/>
          <w:lang w:eastAsia="ar-SA"/>
        </w:rPr>
        <w:t xml:space="preserve"> will enable additional resources to deliver public health outcomes in future years</w:t>
      </w:r>
      <w:r w:rsidR="002F6A2F">
        <w:rPr>
          <w:rFonts w:cs="Arial"/>
          <w:szCs w:val="24"/>
          <w:lang w:eastAsia="ar-SA"/>
        </w:rPr>
        <w:t>.</w:t>
      </w:r>
    </w:p>
    <w:p w:rsidR="002F6A2F" w:rsidRPr="00DD7468" w:rsidRDefault="002F6A2F" w:rsidP="00AA3B74">
      <w:pPr>
        <w:pStyle w:val="ListParagraph"/>
        <w:jc w:val="both"/>
        <w:rPr>
          <w:rFonts w:cs="Arial"/>
          <w:szCs w:val="24"/>
          <w:lang w:eastAsia="ar-SA"/>
        </w:rPr>
      </w:pPr>
    </w:p>
    <w:p w:rsidR="002F6A2F" w:rsidRDefault="002F6A2F" w:rsidP="00AA3B74">
      <w:pPr>
        <w:pStyle w:val="ListParagraph"/>
        <w:numPr>
          <w:ilvl w:val="0"/>
          <w:numId w:val="128"/>
        </w:numPr>
        <w:suppressAutoHyphens/>
        <w:spacing w:after="200" w:line="276" w:lineRule="auto"/>
        <w:ind w:left="567" w:hanging="553"/>
        <w:jc w:val="both"/>
        <w:rPr>
          <w:rFonts w:cs="Arial"/>
          <w:szCs w:val="24"/>
          <w:lang w:eastAsia="ar-SA"/>
        </w:rPr>
      </w:pPr>
      <w:r w:rsidRPr="002F6A2F">
        <w:rPr>
          <w:rFonts w:cs="Arial"/>
          <w:szCs w:val="24"/>
          <w:lang w:eastAsia="ar-SA"/>
        </w:rPr>
        <w:t>The shared public health service with Barnet ceased on 31st March 2018</w:t>
      </w:r>
      <w:r>
        <w:rPr>
          <w:rFonts w:cs="Arial"/>
          <w:szCs w:val="24"/>
          <w:lang w:eastAsia="ar-SA"/>
        </w:rPr>
        <w:t>.</w:t>
      </w:r>
    </w:p>
    <w:p w:rsidR="002F6A2F" w:rsidRPr="00DD7468" w:rsidRDefault="002F6A2F" w:rsidP="00AA3B74">
      <w:pPr>
        <w:pStyle w:val="ListParagraph"/>
        <w:jc w:val="both"/>
        <w:rPr>
          <w:rFonts w:cs="Arial"/>
          <w:szCs w:val="24"/>
          <w:lang w:eastAsia="ar-SA"/>
        </w:rPr>
      </w:pPr>
    </w:p>
    <w:p w:rsidR="002F6A2F" w:rsidRDefault="002F6A2F">
      <w:pPr>
        <w:pStyle w:val="ListParagraph"/>
        <w:spacing w:after="200" w:line="276" w:lineRule="auto"/>
        <w:ind w:left="374"/>
        <w:jc w:val="both"/>
        <w:rPr>
          <w:rFonts w:cs="Arial"/>
          <w:b/>
          <w:szCs w:val="24"/>
          <w:lang w:eastAsia="ar-SA"/>
        </w:rPr>
      </w:pPr>
      <w:r w:rsidRPr="00254797">
        <w:rPr>
          <w:rFonts w:cs="Arial"/>
          <w:b/>
          <w:bCs/>
          <w:iCs/>
          <w:szCs w:val="24"/>
          <w:lang w:eastAsia="ar-SA"/>
        </w:rPr>
        <w:t>Debt Write Off</w:t>
      </w:r>
    </w:p>
    <w:p w:rsidR="002F6A2F" w:rsidRDefault="002F6A2F" w:rsidP="00AA3B74">
      <w:pPr>
        <w:pStyle w:val="ListParagraph"/>
        <w:numPr>
          <w:ilvl w:val="0"/>
          <w:numId w:val="128"/>
        </w:numPr>
        <w:suppressAutoHyphens/>
        <w:spacing w:after="200" w:line="276" w:lineRule="auto"/>
        <w:ind w:left="567" w:hanging="553"/>
        <w:jc w:val="both"/>
        <w:rPr>
          <w:rFonts w:cs="Arial"/>
          <w:szCs w:val="24"/>
          <w:lang w:eastAsia="ar-SA"/>
        </w:rPr>
      </w:pPr>
      <w:r w:rsidRPr="00AA3B74">
        <w:rPr>
          <w:rFonts w:cs="Arial"/>
          <w:szCs w:val="24"/>
          <w:lang w:eastAsia="ar-SA"/>
        </w:rPr>
        <w:t>Cabinet is requested to write off debt of a historic adult social care debt of £61,381 which is not considered recoverable and which has been fully provided for within the Adults bad debt provision.</w:t>
      </w:r>
      <w:r w:rsidR="005314CD">
        <w:rPr>
          <w:rFonts w:cs="Arial"/>
          <w:szCs w:val="24"/>
          <w:lang w:eastAsia="ar-SA"/>
        </w:rPr>
        <w:t xml:space="preserve"> </w:t>
      </w:r>
      <w:r w:rsidRPr="00AA3B74">
        <w:rPr>
          <w:rFonts w:cs="Arial"/>
          <w:szCs w:val="24"/>
          <w:lang w:eastAsia="ar-SA"/>
        </w:rPr>
        <w:t xml:space="preserve">This debt relates to the payment of care, which was expected to be recovered through access to funds through the courts </w:t>
      </w:r>
      <w:proofErr w:type="gramStart"/>
      <w:r w:rsidRPr="00AA3B74">
        <w:rPr>
          <w:rFonts w:cs="Arial"/>
          <w:szCs w:val="24"/>
          <w:lang w:eastAsia="ar-SA"/>
        </w:rPr>
        <w:t>and  property</w:t>
      </w:r>
      <w:proofErr w:type="gramEnd"/>
      <w:r w:rsidRPr="00AA3B74">
        <w:rPr>
          <w:rFonts w:cs="Arial"/>
          <w:szCs w:val="24"/>
          <w:lang w:eastAsia="ar-SA"/>
        </w:rPr>
        <w:t xml:space="preserve"> transactions. The service user died in 2011 and despite efforts to assess contributions following </w:t>
      </w:r>
      <w:r w:rsidR="005314CD" w:rsidRPr="00AA3B74">
        <w:rPr>
          <w:rFonts w:cs="Arial"/>
          <w:szCs w:val="24"/>
          <w:lang w:eastAsia="ar-SA"/>
        </w:rPr>
        <w:t>probate</w:t>
      </w:r>
      <w:r w:rsidRPr="00AA3B74">
        <w:rPr>
          <w:rFonts w:cs="Arial"/>
          <w:szCs w:val="24"/>
          <w:lang w:eastAsia="ar-SA"/>
        </w:rPr>
        <w:t xml:space="preserve"> this debt remains unpaid. Given the age of the debt and the length of time which has passed since the death of the service user, the debt is no longer considered recoverable.</w:t>
      </w:r>
    </w:p>
    <w:p w:rsidR="00B54A4A" w:rsidRDefault="00B54A4A" w:rsidP="00AA3B74">
      <w:pPr>
        <w:pStyle w:val="ListParagraph"/>
        <w:suppressAutoHyphens/>
        <w:spacing w:after="200" w:line="276" w:lineRule="auto"/>
        <w:ind w:left="567"/>
        <w:jc w:val="both"/>
        <w:rPr>
          <w:rFonts w:cs="Arial"/>
          <w:szCs w:val="24"/>
          <w:lang w:eastAsia="ar-SA"/>
        </w:rPr>
      </w:pPr>
    </w:p>
    <w:p w:rsidR="004E50D3" w:rsidRPr="00DD7468" w:rsidRDefault="004E50D3" w:rsidP="00AA3B74">
      <w:pPr>
        <w:pStyle w:val="ListParagraph"/>
        <w:suppressAutoHyphens/>
        <w:spacing w:after="200" w:line="276" w:lineRule="auto"/>
        <w:ind w:left="567"/>
        <w:jc w:val="both"/>
        <w:rPr>
          <w:rFonts w:cs="Arial"/>
          <w:szCs w:val="24"/>
          <w:lang w:eastAsia="ar-SA"/>
        </w:rPr>
      </w:pPr>
    </w:p>
    <w:p w:rsidR="002F6A2F" w:rsidRDefault="002F6A2F" w:rsidP="00AA3B74">
      <w:pPr>
        <w:pStyle w:val="ListParagraph"/>
        <w:spacing w:after="200" w:line="276" w:lineRule="auto"/>
        <w:ind w:left="374"/>
        <w:jc w:val="both"/>
        <w:rPr>
          <w:rFonts w:cs="Arial"/>
          <w:b/>
          <w:szCs w:val="24"/>
          <w:lang w:eastAsia="ar-SA"/>
        </w:rPr>
      </w:pPr>
      <w:r w:rsidRPr="00074EF4">
        <w:rPr>
          <w:rFonts w:cs="Arial"/>
          <w:b/>
          <w:szCs w:val="24"/>
          <w:lang w:eastAsia="ar-SA"/>
        </w:rPr>
        <w:t>Regeneration</w:t>
      </w:r>
      <w:r>
        <w:rPr>
          <w:rFonts w:cs="Arial"/>
          <w:b/>
          <w:szCs w:val="24"/>
          <w:lang w:eastAsia="ar-SA"/>
        </w:rPr>
        <w:t>, Enterprise and Planning</w:t>
      </w:r>
    </w:p>
    <w:p w:rsidR="00B23BC2" w:rsidRDefault="00B23BC2" w:rsidP="00AA3B74">
      <w:pPr>
        <w:pStyle w:val="ListParagraph"/>
        <w:spacing w:after="200" w:line="276" w:lineRule="auto"/>
        <w:ind w:left="374"/>
        <w:jc w:val="both"/>
        <w:rPr>
          <w:rFonts w:cs="Arial"/>
          <w:szCs w:val="24"/>
          <w:lang w:eastAsia="ar-SA"/>
        </w:rPr>
      </w:pPr>
    </w:p>
    <w:p w:rsidR="002F6A2F" w:rsidRDefault="002F6A2F" w:rsidP="00AA3B74">
      <w:pPr>
        <w:pStyle w:val="ListParagraph"/>
        <w:numPr>
          <w:ilvl w:val="0"/>
          <w:numId w:val="128"/>
        </w:numPr>
        <w:suppressAutoHyphens/>
        <w:spacing w:after="200" w:line="276" w:lineRule="auto"/>
        <w:ind w:left="567" w:hanging="567"/>
        <w:jc w:val="both"/>
        <w:rPr>
          <w:rFonts w:cs="Arial"/>
          <w:szCs w:val="24"/>
          <w:lang w:eastAsia="ar-SA"/>
        </w:rPr>
      </w:pPr>
      <w:r w:rsidRPr="00254797">
        <w:rPr>
          <w:rFonts w:cs="Arial"/>
          <w:szCs w:val="24"/>
          <w:lang w:eastAsia="ar-SA"/>
        </w:rPr>
        <w:t xml:space="preserve">The outturn position for </w:t>
      </w:r>
      <w:r w:rsidR="00A920D8">
        <w:rPr>
          <w:rFonts w:cs="Arial"/>
          <w:szCs w:val="24"/>
          <w:lang w:eastAsia="ar-SA"/>
        </w:rPr>
        <w:t xml:space="preserve">the </w:t>
      </w:r>
      <w:r w:rsidRPr="00254797">
        <w:rPr>
          <w:rFonts w:cs="Arial"/>
          <w:szCs w:val="24"/>
          <w:lang w:eastAsia="ar-SA"/>
        </w:rPr>
        <w:t>Regeneration, Enterprise and Planning division</w:t>
      </w:r>
      <w:r>
        <w:rPr>
          <w:rFonts w:cs="Arial"/>
          <w:szCs w:val="24"/>
          <w:lang w:eastAsia="ar-SA"/>
        </w:rPr>
        <w:t xml:space="preserve"> shows a variance of </w:t>
      </w:r>
      <w:r w:rsidRPr="00254797">
        <w:rPr>
          <w:rFonts w:cs="Arial"/>
          <w:szCs w:val="24"/>
          <w:lang w:eastAsia="ar-SA"/>
        </w:rPr>
        <w:t>£1.239m after taking into consideration a carry forward of £0.108m.</w:t>
      </w:r>
      <w:r>
        <w:rPr>
          <w:rFonts w:cs="Arial"/>
          <w:szCs w:val="24"/>
          <w:lang w:eastAsia="ar-SA"/>
        </w:rPr>
        <w:t xml:space="preserve"> However, £1.060m of Regeneration activity is funded from the capacity already set aside corporately which leaves a balance of £0.179m. </w:t>
      </w:r>
      <w:r w:rsidRPr="00254797">
        <w:rPr>
          <w:rFonts w:cs="Arial"/>
          <w:szCs w:val="24"/>
          <w:lang w:eastAsia="ar-SA"/>
        </w:rPr>
        <w:t xml:space="preserve"> The key reason for the net over spend </w:t>
      </w:r>
      <w:r>
        <w:rPr>
          <w:rFonts w:cs="Arial"/>
          <w:szCs w:val="24"/>
          <w:lang w:eastAsia="ar-SA"/>
        </w:rPr>
        <w:t>is</w:t>
      </w:r>
      <w:r w:rsidRPr="00254797">
        <w:rPr>
          <w:rFonts w:cs="Arial"/>
          <w:szCs w:val="24"/>
          <w:lang w:eastAsia="ar-SA"/>
        </w:rPr>
        <w:t xml:space="preserve"> detailed below</w:t>
      </w:r>
      <w:r w:rsidR="0042269B">
        <w:rPr>
          <w:rFonts w:cs="Arial"/>
          <w:szCs w:val="24"/>
          <w:lang w:eastAsia="ar-SA"/>
        </w:rPr>
        <w:t>:</w:t>
      </w:r>
    </w:p>
    <w:p w:rsidR="0042269B" w:rsidRDefault="0042269B" w:rsidP="00AA3B74">
      <w:pPr>
        <w:pStyle w:val="ListParagraph"/>
        <w:suppressAutoHyphens/>
        <w:spacing w:after="200" w:line="276" w:lineRule="auto"/>
        <w:ind w:left="567"/>
        <w:jc w:val="both"/>
        <w:rPr>
          <w:rFonts w:cs="Arial"/>
          <w:szCs w:val="24"/>
          <w:lang w:eastAsia="ar-SA"/>
        </w:rPr>
      </w:pPr>
    </w:p>
    <w:p w:rsidR="0074679A" w:rsidRPr="00AE7967" w:rsidRDefault="0074679A" w:rsidP="00AA3B74">
      <w:pPr>
        <w:pStyle w:val="ListParagraph"/>
        <w:numPr>
          <w:ilvl w:val="0"/>
          <w:numId w:val="107"/>
        </w:numPr>
        <w:suppressAutoHyphens/>
        <w:spacing w:after="200" w:line="276" w:lineRule="auto"/>
        <w:jc w:val="both"/>
        <w:rPr>
          <w:rFonts w:cs="Arial"/>
          <w:szCs w:val="24"/>
          <w:lang w:eastAsia="ar-SA"/>
        </w:rPr>
      </w:pPr>
      <w:r w:rsidRPr="00DD7468">
        <w:rPr>
          <w:rFonts w:cs="Arial"/>
          <w:szCs w:val="24"/>
          <w:lang w:eastAsia="ar-SA"/>
        </w:rPr>
        <w:t>Net overspend of £</w:t>
      </w:r>
      <w:r w:rsidR="00AC44DB">
        <w:rPr>
          <w:rFonts w:cs="Arial"/>
          <w:szCs w:val="24"/>
          <w:lang w:eastAsia="ar-SA"/>
        </w:rPr>
        <w:t>0.179m in Planning service</w:t>
      </w:r>
      <w:r w:rsidR="004E50D3">
        <w:rPr>
          <w:rFonts w:cs="Arial"/>
          <w:szCs w:val="24"/>
          <w:lang w:eastAsia="ar-SA"/>
        </w:rPr>
        <w:t>s</w:t>
      </w:r>
      <w:r w:rsidRPr="00DD7468">
        <w:rPr>
          <w:rFonts w:cs="Arial"/>
          <w:szCs w:val="24"/>
          <w:lang w:eastAsia="ar-SA"/>
        </w:rPr>
        <w:t xml:space="preserve"> due to additional agency staff costs to cover vacancies.</w:t>
      </w:r>
    </w:p>
    <w:p w:rsidR="0074679A" w:rsidRDefault="0074679A" w:rsidP="00AA3B74">
      <w:pPr>
        <w:pStyle w:val="ListParagraph"/>
        <w:suppressAutoHyphens/>
        <w:spacing w:after="200" w:line="276" w:lineRule="auto"/>
        <w:ind w:left="374"/>
        <w:jc w:val="both"/>
        <w:rPr>
          <w:rFonts w:cs="Arial"/>
          <w:szCs w:val="24"/>
          <w:lang w:eastAsia="ar-SA"/>
        </w:rPr>
      </w:pPr>
    </w:p>
    <w:p w:rsidR="0074679A" w:rsidRDefault="0074679A" w:rsidP="00AA3B74">
      <w:pPr>
        <w:pStyle w:val="ListParagraph"/>
        <w:numPr>
          <w:ilvl w:val="0"/>
          <w:numId w:val="128"/>
        </w:numPr>
        <w:suppressAutoHyphens/>
        <w:spacing w:after="200" w:line="276" w:lineRule="auto"/>
        <w:ind w:left="567" w:hanging="553"/>
        <w:jc w:val="both"/>
        <w:rPr>
          <w:rFonts w:cs="Arial"/>
          <w:szCs w:val="24"/>
          <w:lang w:eastAsia="ar-SA"/>
        </w:rPr>
      </w:pPr>
      <w:r w:rsidRPr="0074679A">
        <w:rPr>
          <w:rFonts w:cs="Arial"/>
          <w:szCs w:val="24"/>
          <w:lang w:eastAsia="ar-SA"/>
        </w:rPr>
        <w:t>The recommended carry forward requests of £0.108m are set out at Appendix 1</w:t>
      </w:r>
    </w:p>
    <w:p w:rsidR="0074679A" w:rsidRDefault="0074679A" w:rsidP="00AA3B74">
      <w:pPr>
        <w:pStyle w:val="ListParagraph"/>
        <w:suppressAutoHyphens/>
        <w:spacing w:after="200" w:line="276" w:lineRule="auto"/>
        <w:ind w:left="374"/>
        <w:jc w:val="both"/>
        <w:rPr>
          <w:rFonts w:cs="Arial"/>
          <w:szCs w:val="24"/>
          <w:lang w:eastAsia="ar-SA"/>
        </w:rPr>
      </w:pPr>
    </w:p>
    <w:p w:rsidR="0074679A" w:rsidRDefault="0074679A" w:rsidP="00AA3B74">
      <w:pPr>
        <w:suppressAutoHyphens/>
        <w:spacing w:after="200" w:line="276" w:lineRule="auto"/>
        <w:jc w:val="both"/>
        <w:rPr>
          <w:rFonts w:cs="Arial"/>
          <w:b/>
          <w:szCs w:val="24"/>
          <w:lang w:eastAsia="ar-SA"/>
        </w:rPr>
      </w:pPr>
      <w:r w:rsidRPr="00AA3B74">
        <w:rPr>
          <w:rFonts w:cs="Arial"/>
          <w:b/>
          <w:szCs w:val="24"/>
          <w:lang w:eastAsia="ar-SA"/>
        </w:rPr>
        <w:t>CORPORATE ITEMS</w:t>
      </w:r>
    </w:p>
    <w:p w:rsidR="0074679A" w:rsidRPr="00AA3B74" w:rsidRDefault="0074679A" w:rsidP="00AA3B74">
      <w:pPr>
        <w:pStyle w:val="ListParagraph"/>
        <w:suppressAutoHyphens/>
        <w:spacing w:after="200" w:line="276" w:lineRule="auto"/>
        <w:ind w:left="360"/>
        <w:jc w:val="both"/>
        <w:rPr>
          <w:rFonts w:cs="Arial"/>
          <w:b/>
          <w:szCs w:val="24"/>
          <w:lang w:eastAsia="ar-SA"/>
        </w:rPr>
      </w:pPr>
      <w:r w:rsidRPr="00AA3B74">
        <w:rPr>
          <w:rFonts w:cs="Arial"/>
          <w:b/>
          <w:szCs w:val="24"/>
          <w:lang w:eastAsia="ar-SA"/>
        </w:rPr>
        <w:t xml:space="preserve">Corporate Items </w:t>
      </w:r>
    </w:p>
    <w:p w:rsidR="0074679A" w:rsidRDefault="0074679A" w:rsidP="00AA3B74">
      <w:pPr>
        <w:pStyle w:val="ListParagraph"/>
        <w:numPr>
          <w:ilvl w:val="0"/>
          <w:numId w:val="128"/>
        </w:numPr>
        <w:suppressAutoHyphens/>
        <w:spacing w:after="200" w:line="276" w:lineRule="auto"/>
        <w:ind w:left="567" w:hanging="567"/>
        <w:jc w:val="both"/>
        <w:rPr>
          <w:rFonts w:cs="Arial"/>
          <w:szCs w:val="24"/>
          <w:lang w:eastAsia="ar-SA"/>
        </w:rPr>
      </w:pPr>
      <w:r w:rsidRPr="0074679A">
        <w:rPr>
          <w:rFonts w:cs="Arial"/>
          <w:szCs w:val="24"/>
          <w:lang w:eastAsia="ar-SA"/>
        </w:rPr>
        <w:t>The net underspend on corporate items is (£2.325m) as detailed below;</w:t>
      </w:r>
    </w:p>
    <w:p w:rsidR="0074679A" w:rsidRPr="0074679A" w:rsidRDefault="0074679A" w:rsidP="00AA3B74">
      <w:pPr>
        <w:pStyle w:val="ListParagraph"/>
        <w:suppressAutoHyphens/>
        <w:spacing w:after="200" w:line="276" w:lineRule="auto"/>
        <w:ind w:left="360"/>
        <w:jc w:val="both"/>
        <w:rPr>
          <w:rFonts w:cs="Arial"/>
          <w:szCs w:val="24"/>
          <w:lang w:eastAsia="ar-SA"/>
        </w:rPr>
      </w:pPr>
    </w:p>
    <w:p w:rsidR="0074679A" w:rsidRPr="0074679A" w:rsidRDefault="0074679A" w:rsidP="00AA3B74">
      <w:pPr>
        <w:pStyle w:val="ListParagraph"/>
        <w:numPr>
          <w:ilvl w:val="0"/>
          <w:numId w:val="107"/>
        </w:numPr>
        <w:suppressAutoHyphens/>
        <w:spacing w:after="200" w:line="276" w:lineRule="auto"/>
        <w:jc w:val="both"/>
        <w:rPr>
          <w:rFonts w:cs="Arial"/>
          <w:szCs w:val="24"/>
          <w:lang w:eastAsia="ar-SA"/>
        </w:rPr>
      </w:pPr>
      <w:r w:rsidRPr="0074679A">
        <w:rPr>
          <w:rFonts w:cs="Arial"/>
          <w:szCs w:val="24"/>
          <w:lang w:eastAsia="ar-SA"/>
        </w:rPr>
        <w:t xml:space="preserve">(£0.152m) is </w:t>
      </w:r>
      <w:proofErr w:type="gramStart"/>
      <w:r w:rsidRPr="0074679A">
        <w:rPr>
          <w:rFonts w:cs="Arial"/>
          <w:szCs w:val="24"/>
          <w:lang w:eastAsia="ar-SA"/>
        </w:rPr>
        <w:t>the underspend</w:t>
      </w:r>
      <w:proofErr w:type="gramEnd"/>
      <w:r w:rsidRPr="0074679A">
        <w:rPr>
          <w:rFonts w:cs="Arial"/>
          <w:szCs w:val="24"/>
          <w:lang w:eastAsia="ar-SA"/>
        </w:rPr>
        <w:t xml:space="preserve"> against the £0.400m set aside for the Appre</w:t>
      </w:r>
      <w:r w:rsidR="004E50D3">
        <w:rPr>
          <w:rFonts w:cs="Arial"/>
          <w:szCs w:val="24"/>
          <w:lang w:eastAsia="ar-SA"/>
        </w:rPr>
        <w:t>n</w:t>
      </w:r>
      <w:r w:rsidRPr="0074679A">
        <w:rPr>
          <w:rFonts w:cs="Arial"/>
          <w:szCs w:val="24"/>
          <w:lang w:eastAsia="ar-SA"/>
        </w:rPr>
        <w:t>t</w:t>
      </w:r>
      <w:r w:rsidR="00A920D8">
        <w:rPr>
          <w:rFonts w:cs="Arial"/>
          <w:szCs w:val="24"/>
          <w:lang w:eastAsia="ar-SA"/>
        </w:rPr>
        <w:t>ice</w:t>
      </w:r>
      <w:r w:rsidRPr="0074679A">
        <w:rPr>
          <w:rFonts w:cs="Arial"/>
          <w:szCs w:val="24"/>
          <w:lang w:eastAsia="ar-SA"/>
        </w:rPr>
        <w:t>ship levy.</w:t>
      </w:r>
    </w:p>
    <w:p w:rsidR="0074679A" w:rsidRPr="0074679A" w:rsidRDefault="0074679A" w:rsidP="00AA3B74">
      <w:pPr>
        <w:pStyle w:val="ListParagraph"/>
        <w:suppressAutoHyphens/>
        <w:spacing w:after="200" w:line="276" w:lineRule="auto"/>
        <w:ind w:left="360"/>
        <w:jc w:val="both"/>
        <w:rPr>
          <w:rFonts w:cs="Arial"/>
          <w:szCs w:val="24"/>
          <w:lang w:eastAsia="ar-SA"/>
        </w:rPr>
      </w:pPr>
    </w:p>
    <w:p w:rsidR="0074679A" w:rsidRDefault="0074679A">
      <w:pPr>
        <w:pStyle w:val="ListParagraph"/>
        <w:numPr>
          <w:ilvl w:val="0"/>
          <w:numId w:val="107"/>
        </w:numPr>
        <w:suppressAutoHyphens/>
        <w:spacing w:after="200" w:line="276" w:lineRule="auto"/>
        <w:jc w:val="both"/>
        <w:rPr>
          <w:rFonts w:cs="Arial"/>
          <w:szCs w:val="24"/>
          <w:lang w:eastAsia="ar-SA"/>
        </w:rPr>
      </w:pPr>
      <w:r w:rsidRPr="001822D7">
        <w:rPr>
          <w:rFonts w:cs="Arial"/>
          <w:szCs w:val="24"/>
          <w:lang w:eastAsia="ar-SA"/>
        </w:rPr>
        <w:t>(£1.425m) of bad debt provision relating to housing benefit overpayment</w:t>
      </w:r>
      <w:r w:rsidR="00FD417F" w:rsidRPr="001822D7">
        <w:rPr>
          <w:rFonts w:cs="Arial"/>
          <w:szCs w:val="24"/>
          <w:lang w:eastAsia="ar-SA"/>
        </w:rPr>
        <w:t>s</w:t>
      </w:r>
      <w:r w:rsidRPr="001822D7">
        <w:rPr>
          <w:rFonts w:cs="Arial"/>
          <w:szCs w:val="24"/>
          <w:lang w:eastAsia="ar-SA"/>
        </w:rPr>
        <w:t xml:space="preserve"> within the Housing Benefit Service</w:t>
      </w:r>
      <w:r w:rsidR="00FD417F" w:rsidRPr="001822D7">
        <w:rPr>
          <w:rFonts w:cs="Arial"/>
          <w:szCs w:val="24"/>
          <w:lang w:eastAsia="ar-SA"/>
        </w:rPr>
        <w:t xml:space="preserve"> which is no longer required.</w:t>
      </w:r>
      <w:r w:rsidRPr="001822D7">
        <w:rPr>
          <w:rFonts w:cs="Arial"/>
          <w:szCs w:val="24"/>
          <w:lang w:eastAsia="ar-SA"/>
        </w:rPr>
        <w:t xml:space="preserve"> </w:t>
      </w:r>
      <w:r w:rsidR="00FD417F" w:rsidRPr="001822D7">
        <w:rPr>
          <w:rFonts w:cs="Arial"/>
          <w:szCs w:val="24"/>
          <w:lang w:eastAsia="ar-SA"/>
        </w:rPr>
        <w:t>The bad debt</w:t>
      </w:r>
      <w:r w:rsidR="001822D7" w:rsidRPr="001822D7">
        <w:rPr>
          <w:rFonts w:cs="Arial"/>
          <w:szCs w:val="24"/>
          <w:lang w:eastAsia="ar-SA"/>
        </w:rPr>
        <w:t xml:space="preserve"> provision now stands at 78</w:t>
      </w:r>
      <w:r w:rsidR="00FD417F" w:rsidRPr="001822D7">
        <w:rPr>
          <w:rFonts w:cs="Arial"/>
          <w:szCs w:val="24"/>
          <w:lang w:eastAsia="ar-SA"/>
        </w:rPr>
        <w:t>% of</w:t>
      </w:r>
      <w:r w:rsidR="004E50D3">
        <w:rPr>
          <w:rFonts w:cs="Arial"/>
          <w:szCs w:val="24"/>
          <w:lang w:eastAsia="ar-SA"/>
        </w:rPr>
        <w:t xml:space="preserve"> £10.4</w:t>
      </w:r>
      <w:r w:rsidR="001822D7" w:rsidRPr="001822D7">
        <w:rPr>
          <w:rFonts w:cs="Arial"/>
          <w:szCs w:val="24"/>
          <w:lang w:eastAsia="ar-SA"/>
        </w:rPr>
        <w:t>m debt.</w:t>
      </w:r>
    </w:p>
    <w:p w:rsidR="001822D7" w:rsidRPr="0038627D" w:rsidRDefault="001822D7" w:rsidP="00AA3B74">
      <w:pPr>
        <w:pStyle w:val="ListParagraph"/>
        <w:jc w:val="both"/>
        <w:rPr>
          <w:rFonts w:cs="Arial"/>
          <w:szCs w:val="24"/>
          <w:lang w:eastAsia="ar-SA"/>
        </w:rPr>
      </w:pPr>
    </w:p>
    <w:p w:rsidR="0074679A" w:rsidRDefault="0074679A">
      <w:pPr>
        <w:pStyle w:val="ListParagraph"/>
        <w:numPr>
          <w:ilvl w:val="0"/>
          <w:numId w:val="107"/>
        </w:numPr>
        <w:suppressAutoHyphens/>
        <w:spacing w:after="200" w:line="276" w:lineRule="auto"/>
        <w:jc w:val="both"/>
        <w:rPr>
          <w:rFonts w:cs="Arial"/>
          <w:szCs w:val="24"/>
          <w:lang w:eastAsia="ar-SA"/>
        </w:rPr>
      </w:pPr>
      <w:r w:rsidRPr="0074679A">
        <w:rPr>
          <w:rFonts w:cs="Arial"/>
          <w:szCs w:val="24"/>
          <w:lang w:eastAsia="ar-SA"/>
        </w:rPr>
        <w:t>(£0.435m) write back on the Good Received /Invoice Received suspense account.</w:t>
      </w:r>
    </w:p>
    <w:p w:rsidR="001822D7" w:rsidRPr="0038627D" w:rsidRDefault="001822D7" w:rsidP="00AA3B74">
      <w:pPr>
        <w:pStyle w:val="ListParagraph"/>
        <w:jc w:val="both"/>
        <w:rPr>
          <w:rFonts w:cs="Arial"/>
          <w:szCs w:val="24"/>
          <w:lang w:eastAsia="ar-SA"/>
        </w:rPr>
      </w:pPr>
    </w:p>
    <w:p w:rsidR="0074679A" w:rsidRDefault="004E50D3" w:rsidP="00AA3B74">
      <w:pPr>
        <w:pStyle w:val="ListParagraph"/>
        <w:numPr>
          <w:ilvl w:val="0"/>
          <w:numId w:val="107"/>
        </w:numPr>
        <w:suppressAutoHyphens/>
        <w:spacing w:after="200" w:line="276" w:lineRule="auto"/>
        <w:jc w:val="both"/>
        <w:rPr>
          <w:rFonts w:cs="Arial"/>
          <w:szCs w:val="24"/>
          <w:lang w:eastAsia="ar-SA"/>
        </w:rPr>
      </w:pPr>
      <w:r>
        <w:rPr>
          <w:rFonts w:cs="Arial"/>
          <w:szCs w:val="24"/>
          <w:lang w:eastAsia="ar-SA"/>
        </w:rPr>
        <w:t>(</w:t>
      </w:r>
      <w:r w:rsidR="0074679A" w:rsidRPr="0074679A">
        <w:rPr>
          <w:rFonts w:cs="Arial"/>
          <w:szCs w:val="24"/>
          <w:lang w:eastAsia="ar-SA"/>
        </w:rPr>
        <w:t>£0.107m) is due to 2017/18 Employ</w:t>
      </w:r>
      <w:r>
        <w:rPr>
          <w:rFonts w:cs="Arial"/>
          <w:szCs w:val="24"/>
          <w:lang w:eastAsia="ar-SA"/>
        </w:rPr>
        <w:t xml:space="preserve">er’s contribution adjustment which is a result </w:t>
      </w:r>
      <w:proofErr w:type="gramStart"/>
      <w:r>
        <w:rPr>
          <w:rFonts w:cs="Arial"/>
          <w:szCs w:val="24"/>
          <w:lang w:eastAsia="ar-SA"/>
        </w:rPr>
        <w:t xml:space="preserve">of </w:t>
      </w:r>
      <w:r w:rsidR="0074679A" w:rsidRPr="0074679A">
        <w:rPr>
          <w:rFonts w:cs="Arial"/>
          <w:szCs w:val="24"/>
          <w:lang w:eastAsia="ar-SA"/>
        </w:rPr>
        <w:t xml:space="preserve"> over</w:t>
      </w:r>
      <w:proofErr w:type="gramEnd"/>
      <w:r w:rsidR="0074679A" w:rsidRPr="0074679A">
        <w:rPr>
          <w:rFonts w:cs="Arial"/>
          <w:szCs w:val="24"/>
          <w:lang w:eastAsia="ar-SA"/>
        </w:rPr>
        <w:t xml:space="preserve"> recovery of pension contribution</w:t>
      </w:r>
      <w:r>
        <w:rPr>
          <w:rFonts w:cs="Arial"/>
          <w:szCs w:val="24"/>
          <w:lang w:eastAsia="ar-SA"/>
        </w:rPr>
        <w:t>s</w:t>
      </w:r>
      <w:r w:rsidR="0074679A">
        <w:rPr>
          <w:rFonts w:cs="Arial"/>
          <w:szCs w:val="24"/>
          <w:lang w:eastAsia="ar-SA"/>
        </w:rPr>
        <w:t>.</w:t>
      </w:r>
    </w:p>
    <w:p w:rsidR="001822D7" w:rsidRPr="0038627D" w:rsidRDefault="001822D7" w:rsidP="00AA3B74">
      <w:pPr>
        <w:pStyle w:val="ListParagraph"/>
        <w:jc w:val="both"/>
        <w:rPr>
          <w:rFonts w:cs="Arial"/>
          <w:szCs w:val="24"/>
          <w:lang w:eastAsia="ar-SA"/>
        </w:rPr>
      </w:pPr>
    </w:p>
    <w:p w:rsidR="0074679A" w:rsidRDefault="007A7ECD">
      <w:pPr>
        <w:pStyle w:val="ListParagraph"/>
        <w:numPr>
          <w:ilvl w:val="0"/>
          <w:numId w:val="107"/>
        </w:numPr>
        <w:suppressAutoHyphens/>
        <w:spacing w:after="200" w:line="276" w:lineRule="auto"/>
        <w:jc w:val="both"/>
        <w:rPr>
          <w:rFonts w:cs="Arial"/>
          <w:szCs w:val="24"/>
          <w:lang w:eastAsia="ar-SA"/>
        </w:rPr>
      </w:pPr>
      <w:r>
        <w:rPr>
          <w:rFonts w:cs="Arial"/>
          <w:szCs w:val="24"/>
          <w:lang w:eastAsia="ar-SA"/>
        </w:rPr>
        <w:t>(£0.156m) reduction in</w:t>
      </w:r>
      <w:r w:rsidR="0074679A" w:rsidRPr="0074679A">
        <w:rPr>
          <w:rFonts w:cs="Arial"/>
          <w:szCs w:val="24"/>
          <w:lang w:eastAsia="ar-SA"/>
        </w:rPr>
        <w:t xml:space="preserve"> subscription charges paid in the year.</w:t>
      </w:r>
    </w:p>
    <w:p w:rsidR="001822D7" w:rsidRPr="0038627D" w:rsidRDefault="001822D7" w:rsidP="00AA3B74">
      <w:pPr>
        <w:pStyle w:val="ListParagraph"/>
        <w:jc w:val="both"/>
        <w:rPr>
          <w:rFonts w:cs="Arial"/>
          <w:szCs w:val="24"/>
          <w:lang w:eastAsia="ar-SA"/>
        </w:rPr>
      </w:pPr>
    </w:p>
    <w:p w:rsidR="0074679A" w:rsidRPr="0074679A" w:rsidRDefault="0074679A">
      <w:pPr>
        <w:pStyle w:val="ListParagraph"/>
        <w:numPr>
          <w:ilvl w:val="0"/>
          <w:numId w:val="107"/>
        </w:numPr>
        <w:suppressAutoHyphens/>
        <w:spacing w:after="200" w:line="276" w:lineRule="auto"/>
        <w:jc w:val="both"/>
        <w:rPr>
          <w:rFonts w:cs="Arial"/>
          <w:szCs w:val="24"/>
          <w:lang w:eastAsia="ar-SA"/>
        </w:rPr>
      </w:pPr>
      <w:r w:rsidRPr="0074679A">
        <w:rPr>
          <w:rFonts w:cs="Arial"/>
          <w:szCs w:val="24"/>
          <w:lang w:eastAsia="ar-SA"/>
        </w:rPr>
        <w:t>Other minor underspend on corporate item of (£0.050m).</w:t>
      </w:r>
    </w:p>
    <w:p w:rsidR="0074679A" w:rsidRPr="00DD7468" w:rsidRDefault="0074679A" w:rsidP="00AA3B74">
      <w:pPr>
        <w:pStyle w:val="ListParagraph"/>
        <w:suppressAutoHyphens/>
        <w:spacing w:after="200" w:line="276" w:lineRule="auto"/>
        <w:ind w:left="734"/>
        <w:jc w:val="both"/>
        <w:rPr>
          <w:rFonts w:cs="Arial"/>
          <w:szCs w:val="24"/>
          <w:lang w:eastAsia="ar-SA"/>
        </w:rPr>
      </w:pPr>
    </w:p>
    <w:p w:rsidR="0074679A" w:rsidRDefault="0074679A" w:rsidP="00AA3B74">
      <w:pPr>
        <w:pStyle w:val="ListParagraph"/>
        <w:suppressAutoHyphens/>
        <w:spacing w:after="200" w:line="276" w:lineRule="auto"/>
        <w:ind w:left="360"/>
        <w:jc w:val="both"/>
        <w:rPr>
          <w:rFonts w:cs="Arial"/>
          <w:b/>
          <w:szCs w:val="24"/>
          <w:lang w:eastAsia="ar-SA"/>
        </w:rPr>
      </w:pPr>
      <w:r w:rsidRPr="0074679A">
        <w:rPr>
          <w:rFonts w:cs="Arial"/>
          <w:b/>
          <w:szCs w:val="24"/>
          <w:lang w:eastAsia="ar-SA"/>
        </w:rPr>
        <w:t>Contingency</w:t>
      </w:r>
    </w:p>
    <w:p w:rsidR="00B23BC2" w:rsidRDefault="00B23BC2" w:rsidP="00AA3B74">
      <w:pPr>
        <w:pStyle w:val="ListParagraph"/>
        <w:numPr>
          <w:ilvl w:val="0"/>
          <w:numId w:val="128"/>
        </w:numPr>
        <w:suppressAutoHyphens/>
        <w:spacing w:after="200" w:line="276" w:lineRule="auto"/>
        <w:ind w:left="567" w:hanging="567"/>
        <w:jc w:val="both"/>
        <w:rPr>
          <w:rFonts w:cs="Arial"/>
          <w:szCs w:val="24"/>
          <w:lang w:eastAsia="ar-SA"/>
        </w:rPr>
      </w:pPr>
      <w:r w:rsidRPr="00FD417F">
        <w:rPr>
          <w:rFonts w:cs="Arial"/>
          <w:szCs w:val="24"/>
          <w:lang w:eastAsia="ar-SA"/>
        </w:rPr>
        <w:t xml:space="preserve">Of the £1.248m contingency </w:t>
      </w:r>
      <w:r w:rsidR="00FD417F" w:rsidRPr="00FD417F">
        <w:rPr>
          <w:rFonts w:cs="Arial"/>
          <w:szCs w:val="24"/>
          <w:lang w:eastAsia="ar-SA"/>
        </w:rPr>
        <w:t>for</w:t>
      </w:r>
      <w:r w:rsidRPr="00FD417F">
        <w:rPr>
          <w:rFonts w:cs="Arial"/>
          <w:szCs w:val="24"/>
          <w:lang w:eastAsia="ar-SA"/>
        </w:rPr>
        <w:t xml:space="preserve"> unf</w:t>
      </w:r>
      <w:r w:rsidR="004E50D3">
        <w:rPr>
          <w:rFonts w:cs="Arial"/>
          <w:szCs w:val="24"/>
          <w:lang w:eastAsia="ar-SA"/>
        </w:rPr>
        <w:t>oreseen items, £0.974m was used</w:t>
      </w:r>
      <w:r w:rsidRPr="00FD417F">
        <w:rPr>
          <w:rFonts w:cs="Arial"/>
          <w:szCs w:val="24"/>
          <w:lang w:eastAsia="ar-SA"/>
        </w:rPr>
        <w:t xml:space="preserve">, </w:t>
      </w:r>
      <w:r w:rsidR="00FD417F" w:rsidRPr="00FD417F">
        <w:rPr>
          <w:rFonts w:cs="Arial"/>
          <w:szCs w:val="24"/>
          <w:lang w:eastAsia="ar-SA"/>
        </w:rPr>
        <w:t>leaving</w:t>
      </w:r>
      <w:r w:rsidRPr="00FD417F">
        <w:rPr>
          <w:rFonts w:cs="Arial"/>
          <w:szCs w:val="24"/>
          <w:lang w:eastAsia="ar-SA"/>
        </w:rPr>
        <w:t xml:space="preserve"> an under spend of (£0.274m)</w:t>
      </w:r>
      <w:r w:rsidR="00FD417F" w:rsidRPr="00FD417F">
        <w:rPr>
          <w:rFonts w:cs="Arial"/>
          <w:szCs w:val="24"/>
          <w:lang w:eastAsia="ar-SA"/>
        </w:rPr>
        <w:t>.</w:t>
      </w:r>
      <w:r w:rsidRPr="00FD417F">
        <w:rPr>
          <w:rFonts w:cs="Arial"/>
          <w:szCs w:val="24"/>
          <w:lang w:eastAsia="ar-SA"/>
        </w:rPr>
        <w:t xml:space="preserve"> </w:t>
      </w:r>
    </w:p>
    <w:p w:rsidR="00FD417F" w:rsidRPr="00FD417F" w:rsidRDefault="00FD417F" w:rsidP="00AA3B74">
      <w:pPr>
        <w:pStyle w:val="ListParagraph"/>
        <w:suppressAutoHyphens/>
        <w:spacing w:after="200" w:line="276" w:lineRule="auto"/>
        <w:ind w:left="567"/>
        <w:jc w:val="both"/>
        <w:rPr>
          <w:rFonts w:cs="Arial"/>
          <w:szCs w:val="24"/>
          <w:lang w:eastAsia="ar-SA"/>
        </w:rPr>
      </w:pPr>
    </w:p>
    <w:p w:rsidR="00B23BC2" w:rsidRPr="0074679A" w:rsidRDefault="00B23BC2" w:rsidP="00AA3B74">
      <w:pPr>
        <w:pStyle w:val="ListParagraph"/>
        <w:suppressAutoHyphens/>
        <w:spacing w:after="200" w:line="276" w:lineRule="auto"/>
        <w:ind w:left="360"/>
        <w:jc w:val="both"/>
        <w:rPr>
          <w:rFonts w:cs="Arial"/>
          <w:b/>
          <w:szCs w:val="24"/>
          <w:lang w:eastAsia="ar-SA"/>
        </w:rPr>
      </w:pPr>
      <w:r w:rsidRPr="0074679A">
        <w:rPr>
          <w:rFonts w:cs="Arial"/>
          <w:b/>
          <w:szCs w:val="24"/>
          <w:lang w:eastAsia="ar-SA"/>
        </w:rPr>
        <w:t>Technical and Corporate Adjustments</w:t>
      </w:r>
    </w:p>
    <w:p w:rsidR="00B23BC2" w:rsidRDefault="00B23BC2" w:rsidP="00AA3B74">
      <w:pPr>
        <w:pStyle w:val="ListParagraph"/>
        <w:numPr>
          <w:ilvl w:val="0"/>
          <w:numId w:val="128"/>
        </w:numPr>
        <w:suppressAutoHyphens/>
        <w:spacing w:after="200" w:line="276" w:lineRule="auto"/>
        <w:ind w:left="567" w:hanging="567"/>
        <w:jc w:val="both"/>
        <w:rPr>
          <w:rFonts w:cs="Arial"/>
          <w:szCs w:val="24"/>
          <w:lang w:eastAsia="ar-SA"/>
        </w:rPr>
      </w:pPr>
      <w:r w:rsidRPr="0074679A">
        <w:rPr>
          <w:rFonts w:cs="Arial"/>
          <w:szCs w:val="24"/>
          <w:lang w:eastAsia="ar-SA"/>
        </w:rPr>
        <w:t>The variance of (£5.354m) on Technical and Corporate Adjustment</w:t>
      </w:r>
      <w:r w:rsidR="00FD417F">
        <w:rPr>
          <w:rFonts w:cs="Arial"/>
          <w:szCs w:val="24"/>
          <w:lang w:eastAsia="ar-SA"/>
        </w:rPr>
        <w:t>s is</w:t>
      </w:r>
      <w:r w:rsidRPr="0074679A">
        <w:rPr>
          <w:rFonts w:cs="Arial"/>
          <w:szCs w:val="24"/>
          <w:lang w:eastAsia="ar-SA"/>
        </w:rPr>
        <w:t xml:space="preserve"> detail</w:t>
      </w:r>
      <w:r w:rsidR="00FD417F">
        <w:rPr>
          <w:rFonts w:cs="Arial"/>
          <w:szCs w:val="24"/>
          <w:lang w:eastAsia="ar-SA"/>
        </w:rPr>
        <w:t>ed:</w:t>
      </w:r>
    </w:p>
    <w:p w:rsidR="00FD417F" w:rsidRDefault="00FD417F" w:rsidP="00AA3B74">
      <w:pPr>
        <w:pStyle w:val="ListParagraph"/>
        <w:suppressAutoHyphens/>
        <w:spacing w:after="200" w:line="276" w:lineRule="auto"/>
        <w:ind w:left="567"/>
        <w:jc w:val="both"/>
        <w:rPr>
          <w:rFonts w:cs="Arial"/>
          <w:szCs w:val="24"/>
          <w:lang w:eastAsia="ar-SA"/>
        </w:rPr>
      </w:pPr>
    </w:p>
    <w:p w:rsidR="0074679A" w:rsidRDefault="00FD417F" w:rsidP="00AA3B74">
      <w:pPr>
        <w:pStyle w:val="ListParagraph"/>
        <w:numPr>
          <w:ilvl w:val="0"/>
          <w:numId w:val="108"/>
        </w:numPr>
        <w:suppressAutoHyphens/>
        <w:spacing w:after="200" w:line="276" w:lineRule="auto"/>
        <w:jc w:val="both"/>
        <w:rPr>
          <w:rFonts w:cs="Arial"/>
          <w:szCs w:val="24"/>
          <w:lang w:eastAsia="ar-SA"/>
        </w:rPr>
      </w:pPr>
      <w:r>
        <w:rPr>
          <w:rFonts w:cs="Arial"/>
          <w:szCs w:val="24"/>
          <w:lang w:eastAsia="ar-SA"/>
        </w:rPr>
        <w:t>(£1.518m) relates to the u</w:t>
      </w:r>
      <w:r w:rsidR="0074679A" w:rsidRPr="0074679A">
        <w:rPr>
          <w:rFonts w:cs="Arial"/>
          <w:szCs w:val="24"/>
          <w:lang w:eastAsia="ar-SA"/>
        </w:rPr>
        <w:t>tility Inflation and other inflation provisions against which no draw downs were made</w:t>
      </w:r>
      <w:r w:rsidR="0074679A">
        <w:rPr>
          <w:rFonts w:cs="Arial"/>
          <w:szCs w:val="24"/>
          <w:lang w:eastAsia="ar-SA"/>
        </w:rPr>
        <w:t>.</w:t>
      </w:r>
    </w:p>
    <w:p w:rsidR="0038627D" w:rsidRDefault="0038627D" w:rsidP="00AA3B74">
      <w:pPr>
        <w:pStyle w:val="ListParagraph"/>
        <w:suppressAutoHyphens/>
        <w:spacing w:after="200" w:line="276" w:lineRule="auto"/>
        <w:ind w:left="1080"/>
        <w:jc w:val="both"/>
        <w:rPr>
          <w:rFonts w:cs="Arial"/>
          <w:szCs w:val="24"/>
          <w:lang w:eastAsia="ar-SA"/>
        </w:rPr>
      </w:pPr>
    </w:p>
    <w:p w:rsidR="0074679A" w:rsidRPr="0074679A" w:rsidRDefault="0074679A" w:rsidP="00AA3B74">
      <w:pPr>
        <w:pStyle w:val="ListParagraph"/>
        <w:numPr>
          <w:ilvl w:val="0"/>
          <w:numId w:val="108"/>
        </w:numPr>
        <w:suppressAutoHyphens/>
        <w:spacing w:after="200" w:line="276" w:lineRule="auto"/>
        <w:jc w:val="both"/>
        <w:rPr>
          <w:rFonts w:cs="Arial"/>
          <w:szCs w:val="24"/>
          <w:lang w:eastAsia="ar-SA"/>
        </w:rPr>
      </w:pPr>
      <w:r w:rsidRPr="0074679A">
        <w:rPr>
          <w:rFonts w:cs="Arial"/>
          <w:szCs w:val="24"/>
          <w:lang w:eastAsia="ar-SA"/>
        </w:rPr>
        <w:t xml:space="preserve">The budget set aside for </w:t>
      </w:r>
      <w:r w:rsidR="004E50D3">
        <w:rPr>
          <w:rFonts w:cs="Arial"/>
          <w:szCs w:val="24"/>
          <w:lang w:eastAsia="ar-SA"/>
        </w:rPr>
        <w:t>increase in NNDR as a result of revaluation was underspent b</w:t>
      </w:r>
      <w:r w:rsidR="00AE6152">
        <w:rPr>
          <w:rFonts w:cs="Arial"/>
          <w:szCs w:val="24"/>
          <w:lang w:eastAsia="ar-SA"/>
        </w:rPr>
        <w:t>y</w:t>
      </w:r>
      <w:r w:rsidRPr="0074679A">
        <w:rPr>
          <w:rFonts w:cs="Arial"/>
          <w:szCs w:val="24"/>
          <w:lang w:eastAsia="ar-SA"/>
        </w:rPr>
        <w:t xml:space="preserve"> (£0.348m)</w:t>
      </w:r>
      <w:r w:rsidR="004E50D3">
        <w:rPr>
          <w:rFonts w:cs="Arial"/>
          <w:szCs w:val="24"/>
          <w:lang w:eastAsia="ar-SA"/>
        </w:rPr>
        <w:t>.</w:t>
      </w:r>
    </w:p>
    <w:p w:rsidR="0074679A" w:rsidRPr="0074679A" w:rsidRDefault="0074679A" w:rsidP="00AA3B74">
      <w:pPr>
        <w:pStyle w:val="ListParagraph"/>
        <w:suppressAutoHyphens/>
        <w:spacing w:after="200" w:line="276" w:lineRule="auto"/>
        <w:ind w:left="1080"/>
        <w:jc w:val="both"/>
        <w:rPr>
          <w:rFonts w:cs="Arial"/>
          <w:szCs w:val="24"/>
          <w:lang w:eastAsia="ar-SA"/>
        </w:rPr>
      </w:pPr>
    </w:p>
    <w:p w:rsidR="0074679A" w:rsidRPr="0074679A" w:rsidRDefault="004E50D3" w:rsidP="00AA3B74">
      <w:pPr>
        <w:pStyle w:val="ListParagraph"/>
        <w:numPr>
          <w:ilvl w:val="0"/>
          <w:numId w:val="108"/>
        </w:numPr>
        <w:suppressAutoHyphens/>
        <w:spacing w:after="200" w:line="276" w:lineRule="auto"/>
        <w:jc w:val="both"/>
        <w:rPr>
          <w:rFonts w:cs="Arial"/>
          <w:szCs w:val="24"/>
          <w:lang w:eastAsia="ar-SA"/>
        </w:rPr>
      </w:pPr>
      <w:r>
        <w:rPr>
          <w:rFonts w:cs="Arial"/>
          <w:szCs w:val="24"/>
          <w:lang w:eastAsia="ar-SA"/>
        </w:rPr>
        <w:t>(</w:t>
      </w:r>
      <w:r w:rsidR="0038627D">
        <w:rPr>
          <w:rFonts w:cs="Arial"/>
          <w:szCs w:val="24"/>
          <w:lang w:eastAsia="ar-SA"/>
        </w:rPr>
        <w:t>£</w:t>
      </w:r>
      <w:r>
        <w:rPr>
          <w:rFonts w:cs="Arial"/>
          <w:szCs w:val="24"/>
          <w:lang w:eastAsia="ar-SA"/>
        </w:rPr>
        <w:t>0.</w:t>
      </w:r>
      <w:r w:rsidR="0038627D">
        <w:rPr>
          <w:rFonts w:cs="Arial"/>
          <w:szCs w:val="24"/>
          <w:lang w:eastAsia="ar-SA"/>
        </w:rPr>
        <w:t>526</w:t>
      </w:r>
      <w:r>
        <w:rPr>
          <w:rFonts w:cs="Arial"/>
          <w:szCs w:val="24"/>
          <w:lang w:eastAsia="ar-SA"/>
        </w:rPr>
        <w:t>m)</w:t>
      </w:r>
      <w:r w:rsidR="0038627D">
        <w:rPr>
          <w:rFonts w:cs="Arial"/>
          <w:szCs w:val="24"/>
          <w:lang w:eastAsia="ar-SA"/>
        </w:rPr>
        <w:t xml:space="preserve"> relates to a further revenue </w:t>
      </w:r>
      <w:r w:rsidR="0074679A" w:rsidRPr="0074679A">
        <w:rPr>
          <w:rFonts w:cs="Arial"/>
          <w:szCs w:val="24"/>
          <w:lang w:eastAsia="ar-SA"/>
        </w:rPr>
        <w:t xml:space="preserve">contingency budget </w:t>
      </w:r>
      <w:r w:rsidR="0038627D">
        <w:rPr>
          <w:rFonts w:cs="Arial"/>
          <w:szCs w:val="24"/>
          <w:lang w:eastAsia="ar-SA"/>
        </w:rPr>
        <w:t xml:space="preserve">set aside for unforeseen </w:t>
      </w:r>
      <w:r w:rsidR="005314CD">
        <w:rPr>
          <w:rFonts w:cs="Arial"/>
          <w:szCs w:val="24"/>
          <w:lang w:eastAsia="ar-SA"/>
        </w:rPr>
        <w:t>circumstances which</w:t>
      </w:r>
      <w:r w:rsidR="0074679A" w:rsidRPr="0074679A">
        <w:rPr>
          <w:rFonts w:cs="Arial"/>
          <w:szCs w:val="24"/>
          <w:lang w:eastAsia="ar-SA"/>
        </w:rPr>
        <w:t xml:space="preserve"> was not utilised in 2017/18</w:t>
      </w:r>
      <w:r w:rsidR="0038627D">
        <w:rPr>
          <w:rFonts w:cs="Arial"/>
          <w:szCs w:val="24"/>
          <w:lang w:eastAsia="ar-SA"/>
        </w:rPr>
        <w:t>.</w:t>
      </w:r>
    </w:p>
    <w:p w:rsidR="0074679A" w:rsidRPr="0074679A" w:rsidRDefault="0074679A" w:rsidP="00AA3B74">
      <w:pPr>
        <w:pStyle w:val="ListParagraph"/>
        <w:suppressAutoHyphens/>
        <w:spacing w:after="200" w:line="276" w:lineRule="auto"/>
        <w:ind w:left="1080"/>
        <w:jc w:val="both"/>
        <w:rPr>
          <w:rFonts w:cs="Arial"/>
          <w:szCs w:val="24"/>
          <w:lang w:eastAsia="ar-SA"/>
        </w:rPr>
      </w:pPr>
    </w:p>
    <w:p w:rsidR="0074679A" w:rsidRPr="0074679A" w:rsidRDefault="004E50D3" w:rsidP="00AA3B74">
      <w:pPr>
        <w:pStyle w:val="ListParagraph"/>
        <w:numPr>
          <w:ilvl w:val="0"/>
          <w:numId w:val="108"/>
        </w:numPr>
        <w:suppressAutoHyphens/>
        <w:spacing w:after="200" w:line="276" w:lineRule="auto"/>
        <w:jc w:val="both"/>
        <w:rPr>
          <w:rFonts w:cs="Arial"/>
          <w:szCs w:val="24"/>
          <w:lang w:eastAsia="ar-SA"/>
        </w:rPr>
      </w:pPr>
      <w:r>
        <w:rPr>
          <w:rFonts w:cs="Arial"/>
          <w:szCs w:val="24"/>
          <w:lang w:eastAsia="ar-SA"/>
        </w:rPr>
        <w:t>(</w:t>
      </w:r>
      <w:r w:rsidR="0074679A" w:rsidRPr="0074679A">
        <w:rPr>
          <w:rFonts w:cs="Arial"/>
          <w:szCs w:val="24"/>
          <w:lang w:eastAsia="ar-SA"/>
        </w:rPr>
        <w:t>£0.877m</w:t>
      </w:r>
      <w:r>
        <w:rPr>
          <w:rFonts w:cs="Arial"/>
          <w:szCs w:val="24"/>
          <w:lang w:eastAsia="ar-SA"/>
        </w:rPr>
        <w:t>)</w:t>
      </w:r>
      <w:r w:rsidR="0038627D">
        <w:rPr>
          <w:rFonts w:cs="Arial"/>
          <w:szCs w:val="24"/>
          <w:lang w:eastAsia="ar-SA"/>
        </w:rPr>
        <w:t xml:space="preserve"> relates to a contingency held in respect of reductions to the public health grant which did not materialise in </w:t>
      </w:r>
      <w:r w:rsidR="0074679A" w:rsidRPr="0074679A">
        <w:rPr>
          <w:rFonts w:cs="Arial"/>
          <w:szCs w:val="24"/>
          <w:lang w:eastAsia="ar-SA"/>
        </w:rPr>
        <w:t>2017/18.</w:t>
      </w:r>
    </w:p>
    <w:p w:rsidR="0074679A" w:rsidRPr="0074679A" w:rsidRDefault="0074679A" w:rsidP="00AA3B74">
      <w:pPr>
        <w:pStyle w:val="ListParagraph"/>
        <w:suppressAutoHyphens/>
        <w:spacing w:after="200" w:line="276" w:lineRule="auto"/>
        <w:ind w:left="1080"/>
        <w:jc w:val="both"/>
        <w:rPr>
          <w:rFonts w:cs="Arial"/>
          <w:szCs w:val="24"/>
          <w:lang w:eastAsia="ar-SA"/>
        </w:rPr>
      </w:pPr>
    </w:p>
    <w:p w:rsidR="0074679A" w:rsidRPr="0074679A" w:rsidRDefault="0074679A" w:rsidP="00AA3B74">
      <w:pPr>
        <w:pStyle w:val="ListParagraph"/>
        <w:numPr>
          <w:ilvl w:val="0"/>
          <w:numId w:val="108"/>
        </w:numPr>
        <w:suppressAutoHyphens/>
        <w:spacing w:after="200" w:line="276" w:lineRule="auto"/>
        <w:jc w:val="both"/>
        <w:rPr>
          <w:rFonts w:cs="Arial"/>
          <w:szCs w:val="24"/>
          <w:lang w:eastAsia="ar-SA"/>
        </w:rPr>
      </w:pPr>
      <w:r w:rsidRPr="0074679A">
        <w:rPr>
          <w:rFonts w:cs="Arial"/>
          <w:szCs w:val="24"/>
          <w:lang w:eastAsia="ar-SA"/>
        </w:rPr>
        <w:t xml:space="preserve">(£0.235m) relates to </w:t>
      </w:r>
      <w:proofErr w:type="gramStart"/>
      <w:r w:rsidR="0038627D">
        <w:rPr>
          <w:rFonts w:cs="Arial"/>
          <w:szCs w:val="24"/>
          <w:lang w:eastAsia="ar-SA"/>
        </w:rPr>
        <w:t>an underspend</w:t>
      </w:r>
      <w:proofErr w:type="gramEnd"/>
      <w:r w:rsidR="0038627D">
        <w:rPr>
          <w:rFonts w:cs="Arial"/>
          <w:szCs w:val="24"/>
          <w:lang w:eastAsia="ar-SA"/>
        </w:rPr>
        <w:t xml:space="preserve"> as the amount of provision required in respect of </w:t>
      </w:r>
      <w:r w:rsidRPr="0074679A">
        <w:rPr>
          <w:rFonts w:cs="Arial"/>
          <w:szCs w:val="24"/>
          <w:lang w:eastAsia="ar-SA"/>
        </w:rPr>
        <w:t>litigation</w:t>
      </w:r>
      <w:r w:rsidR="0038627D">
        <w:rPr>
          <w:rFonts w:cs="Arial"/>
          <w:szCs w:val="24"/>
          <w:lang w:eastAsia="ar-SA"/>
        </w:rPr>
        <w:t xml:space="preserve"> was less than that assumed in the budget</w:t>
      </w:r>
      <w:r w:rsidRPr="0074679A">
        <w:rPr>
          <w:rFonts w:cs="Arial"/>
          <w:szCs w:val="24"/>
          <w:lang w:eastAsia="ar-SA"/>
        </w:rPr>
        <w:t xml:space="preserve">. </w:t>
      </w:r>
    </w:p>
    <w:p w:rsidR="0074679A" w:rsidRPr="0074679A" w:rsidRDefault="0074679A" w:rsidP="00AA3B74">
      <w:pPr>
        <w:pStyle w:val="ListParagraph"/>
        <w:suppressAutoHyphens/>
        <w:spacing w:after="200" w:line="276" w:lineRule="auto"/>
        <w:ind w:left="1080"/>
        <w:jc w:val="both"/>
        <w:rPr>
          <w:rFonts w:cs="Arial"/>
          <w:szCs w:val="24"/>
          <w:lang w:eastAsia="ar-SA"/>
        </w:rPr>
      </w:pPr>
    </w:p>
    <w:p w:rsidR="0074679A" w:rsidRPr="0074679A" w:rsidRDefault="0074679A" w:rsidP="00AA3B74">
      <w:pPr>
        <w:pStyle w:val="ListParagraph"/>
        <w:numPr>
          <w:ilvl w:val="0"/>
          <w:numId w:val="108"/>
        </w:numPr>
        <w:suppressAutoHyphens/>
        <w:spacing w:after="200" w:line="276" w:lineRule="auto"/>
        <w:jc w:val="both"/>
        <w:rPr>
          <w:rFonts w:cs="Arial"/>
          <w:szCs w:val="24"/>
          <w:lang w:eastAsia="ar-SA"/>
        </w:rPr>
      </w:pPr>
      <w:r w:rsidRPr="0074679A">
        <w:rPr>
          <w:rFonts w:cs="Arial"/>
          <w:szCs w:val="24"/>
          <w:lang w:eastAsia="ar-SA"/>
        </w:rPr>
        <w:t xml:space="preserve">Additional grant income of (£2.4m) was received during 2017/18, which </w:t>
      </w:r>
      <w:r w:rsidR="0038627D">
        <w:rPr>
          <w:rFonts w:cs="Arial"/>
          <w:szCs w:val="24"/>
          <w:lang w:eastAsia="ar-SA"/>
        </w:rPr>
        <w:t xml:space="preserve">mainly relates to </w:t>
      </w:r>
      <w:r w:rsidRPr="0074679A">
        <w:rPr>
          <w:rFonts w:cs="Arial"/>
          <w:szCs w:val="24"/>
          <w:lang w:eastAsia="ar-SA"/>
        </w:rPr>
        <w:t xml:space="preserve">Section 31 grant </w:t>
      </w:r>
      <w:r w:rsidR="0038627D">
        <w:rPr>
          <w:rFonts w:cs="Arial"/>
          <w:szCs w:val="24"/>
          <w:lang w:eastAsia="ar-SA"/>
        </w:rPr>
        <w:t xml:space="preserve">to reimburse </w:t>
      </w:r>
      <w:r w:rsidR="004E50D3">
        <w:rPr>
          <w:rFonts w:cs="Arial"/>
          <w:szCs w:val="24"/>
          <w:lang w:eastAsia="ar-SA"/>
        </w:rPr>
        <w:t xml:space="preserve">councils </w:t>
      </w:r>
      <w:r w:rsidR="0038627D">
        <w:rPr>
          <w:rFonts w:cs="Arial"/>
          <w:szCs w:val="24"/>
          <w:lang w:eastAsia="ar-SA"/>
        </w:rPr>
        <w:t xml:space="preserve">for exemptions and reliefs given to small businesses in respect of Business rates, which could not have been </w:t>
      </w:r>
      <w:r w:rsidR="00FD417F">
        <w:rPr>
          <w:rFonts w:cs="Arial"/>
          <w:szCs w:val="24"/>
          <w:lang w:eastAsia="ar-SA"/>
        </w:rPr>
        <w:t>budgeted for</w:t>
      </w:r>
      <w:r w:rsidRPr="0074679A">
        <w:rPr>
          <w:rFonts w:cs="Arial"/>
          <w:szCs w:val="24"/>
          <w:lang w:eastAsia="ar-SA"/>
        </w:rPr>
        <w:t xml:space="preserve"> </w:t>
      </w:r>
      <w:r w:rsidR="0038627D">
        <w:rPr>
          <w:rFonts w:cs="Arial"/>
          <w:szCs w:val="24"/>
          <w:lang w:eastAsia="ar-SA"/>
        </w:rPr>
        <w:t>at the start of the year.</w:t>
      </w:r>
    </w:p>
    <w:p w:rsidR="0074679A" w:rsidRPr="0074679A" w:rsidRDefault="0074679A" w:rsidP="00AA3B74">
      <w:pPr>
        <w:pStyle w:val="ListParagraph"/>
        <w:suppressAutoHyphens/>
        <w:spacing w:after="200" w:line="276" w:lineRule="auto"/>
        <w:ind w:left="1080"/>
        <w:jc w:val="both"/>
        <w:rPr>
          <w:rFonts w:cs="Arial"/>
          <w:szCs w:val="24"/>
          <w:lang w:eastAsia="ar-SA"/>
        </w:rPr>
      </w:pPr>
    </w:p>
    <w:p w:rsidR="0074679A" w:rsidRDefault="004E50D3" w:rsidP="00AA3B74">
      <w:pPr>
        <w:pStyle w:val="ListParagraph"/>
        <w:numPr>
          <w:ilvl w:val="0"/>
          <w:numId w:val="108"/>
        </w:numPr>
        <w:suppressAutoHyphens/>
        <w:spacing w:after="200" w:line="276" w:lineRule="auto"/>
        <w:jc w:val="both"/>
        <w:rPr>
          <w:rFonts w:cs="Arial"/>
          <w:szCs w:val="24"/>
          <w:lang w:eastAsia="ar-SA"/>
        </w:rPr>
      </w:pPr>
      <w:r>
        <w:rPr>
          <w:rFonts w:cs="Arial"/>
          <w:szCs w:val="24"/>
          <w:lang w:eastAsia="ar-SA"/>
        </w:rPr>
        <w:t>There has</w:t>
      </w:r>
      <w:r w:rsidR="0074679A" w:rsidRPr="0074679A">
        <w:rPr>
          <w:rFonts w:cs="Arial"/>
          <w:szCs w:val="24"/>
          <w:lang w:eastAsia="ar-SA"/>
        </w:rPr>
        <w:t xml:space="preserve"> been a net underspend of</w:t>
      </w:r>
      <w:r w:rsidR="00310314">
        <w:rPr>
          <w:rFonts w:cs="Arial"/>
          <w:szCs w:val="24"/>
          <w:lang w:eastAsia="ar-SA"/>
        </w:rPr>
        <w:t xml:space="preserve"> (£0.497m) on capital financing</w:t>
      </w:r>
      <w:r w:rsidR="0074679A" w:rsidRPr="0074679A">
        <w:rPr>
          <w:rFonts w:cs="Arial"/>
          <w:szCs w:val="24"/>
          <w:lang w:eastAsia="ar-SA"/>
        </w:rPr>
        <w:t>, this is mainly as a result of delay in spend on the Capital Programme</w:t>
      </w:r>
      <w:r w:rsidR="0074679A">
        <w:rPr>
          <w:rFonts w:cs="Arial"/>
          <w:szCs w:val="24"/>
          <w:lang w:eastAsia="ar-SA"/>
        </w:rPr>
        <w:t>.</w:t>
      </w:r>
    </w:p>
    <w:p w:rsidR="00B23BC2" w:rsidRPr="00AE7967" w:rsidRDefault="00B23BC2" w:rsidP="00AA3B74">
      <w:pPr>
        <w:pStyle w:val="ListParagraph"/>
        <w:jc w:val="both"/>
        <w:rPr>
          <w:rFonts w:cs="Arial"/>
          <w:szCs w:val="24"/>
          <w:lang w:eastAsia="ar-SA"/>
        </w:rPr>
      </w:pPr>
    </w:p>
    <w:p w:rsidR="0074679A" w:rsidRDefault="0014770C" w:rsidP="00AA3B74">
      <w:pPr>
        <w:pStyle w:val="ListParagraph"/>
        <w:numPr>
          <w:ilvl w:val="0"/>
          <w:numId w:val="128"/>
        </w:numPr>
        <w:suppressAutoHyphens/>
        <w:spacing w:after="200" w:line="276" w:lineRule="auto"/>
        <w:ind w:left="567" w:hanging="567"/>
        <w:jc w:val="both"/>
        <w:rPr>
          <w:rFonts w:cs="Arial"/>
          <w:szCs w:val="24"/>
          <w:lang w:eastAsia="ar-SA"/>
        </w:rPr>
      </w:pPr>
      <w:r w:rsidRPr="0014770C">
        <w:rPr>
          <w:rFonts w:cs="Arial"/>
          <w:szCs w:val="24"/>
          <w:lang w:eastAsia="ar-SA"/>
        </w:rPr>
        <w:t>The above under spend is offset by £</w:t>
      </w:r>
      <w:r w:rsidR="004E50D3">
        <w:rPr>
          <w:rFonts w:cs="Arial"/>
          <w:szCs w:val="24"/>
          <w:lang w:eastAsia="ar-SA"/>
        </w:rPr>
        <w:t>1m as a result of not</w:t>
      </w:r>
      <w:r w:rsidRPr="0014770C">
        <w:rPr>
          <w:rFonts w:cs="Arial"/>
          <w:szCs w:val="24"/>
          <w:lang w:eastAsia="ar-SA"/>
        </w:rPr>
        <w:t xml:space="preserve"> </w:t>
      </w:r>
      <w:r w:rsidR="00BE2DC6" w:rsidRPr="0014770C">
        <w:rPr>
          <w:rFonts w:cs="Arial"/>
          <w:szCs w:val="24"/>
          <w:lang w:eastAsia="ar-SA"/>
        </w:rPr>
        <w:t>drawi</w:t>
      </w:r>
      <w:r w:rsidR="00BE2DC6">
        <w:rPr>
          <w:rFonts w:cs="Arial"/>
          <w:szCs w:val="24"/>
          <w:lang w:eastAsia="ar-SA"/>
        </w:rPr>
        <w:t>ng</w:t>
      </w:r>
      <w:r w:rsidR="004E50D3">
        <w:rPr>
          <w:rFonts w:cs="Arial"/>
          <w:szCs w:val="24"/>
          <w:lang w:eastAsia="ar-SA"/>
        </w:rPr>
        <w:t xml:space="preserve"> down</w:t>
      </w:r>
      <w:r w:rsidRPr="0014770C">
        <w:rPr>
          <w:rFonts w:cs="Arial"/>
          <w:szCs w:val="24"/>
          <w:lang w:eastAsia="ar-SA"/>
        </w:rPr>
        <w:t xml:space="preserve"> the £1m from the bu</w:t>
      </w:r>
      <w:r w:rsidR="0038627D">
        <w:rPr>
          <w:rFonts w:cs="Arial"/>
          <w:szCs w:val="24"/>
          <w:lang w:eastAsia="ar-SA"/>
        </w:rPr>
        <w:t>d</w:t>
      </w:r>
      <w:r w:rsidRPr="0014770C">
        <w:rPr>
          <w:rFonts w:cs="Arial"/>
          <w:szCs w:val="24"/>
          <w:lang w:eastAsia="ar-SA"/>
        </w:rPr>
        <w:t>get planning reserve</w:t>
      </w:r>
      <w:r>
        <w:rPr>
          <w:rFonts w:cs="Arial"/>
          <w:szCs w:val="24"/>
          <w:lang w:eastAsia="ar-SA"/>
        </w:rPr>
        <w:t>.</w:t>
      </w:r>
    </w:p>
    <w:p w:rsidR="00B54A4A" w:rsidRDefault="00B54A4A" w:rsidP="00AA3B74">
      <w:pPr>
        <w:pStyle w:val="ListParagraph"/>
        <w:suppressAutoHyphens/>
        <w:spacing w:after="200" w:line="276" w:lineRule="auto"/>
        <w:ind w:left="567"/>
        <w:jc w:val="both"/>
        <w:rPr>
          <w:rFonts w:cs="Arial"/>
          <w:szCs w:val="24"/>
          <w:lang w:eastAsia="ar-SA"/>
        </w:rPr>
      </w:pPr>
    </w:p>
    <w:p w:rsidR="0014770C" w:rsidRDefault="0014770C" w:rsidP="00AA3B74">
      <w:pPr>
        <w:pStyle w:val="ListParagraph"/>
        <w:spacing w:after="200" w:line="276" w:lineRule="auto"/>
        <w:ind w:left="360" w:firstLine="66"/>
        <w:jc w:val="both"/>
        <w:rPr>
          <w:rFonts w:cs="Arial"/>
          <w:b/>
        </w:rPr>
      </w:pPr>
      <w:r w:rsidRPr="007C7950">
        <w:rPr>
          <w:rFonts w:cs="Arial"/>
          <w:b/>
        </w:rPr>
        <w:t>Capital Receipts Flexibility 2017/18</w:t>
      </w:r>
    </w:p>
    <w:p w:rsidR="0014770C" w:rsidRDefault="0014770C" w:rsidP="00AA3B74">
      <w:pPr>
        <w:pStyle w:val="ListParagraph"/>
        <w:numPr>
          <w:ilvl w:val="0"/>
          <w:numId w:val="128"/>
        </w:numPr>
        <w:spacing w:after="240"/>
        <w:ind w:left="567" w:right="306" w:hanging="567"/>
        <w:jc w:val="both"/>
        <w:rPr>
          <w:rFonts w:cs="Arial"/>
        </w:rPr>
      </w:pPr>
      <w:r w:rsidRPr="003E4EAD">
        <w:rPr>
          <w:rFonts w:cs="Arial"/>
        </w:rPr>
        <w:t>In the Spending Review 2015, it was announced that to support local authorities to deliver more efficient and sustainable services, the government will allow local authorities to spend up to 100% of their fixed asset receipts on the revenue costs of reform projects. This flexibility was initially being offered to the sector for the three financial years 2016/17 to 2018/19, but this has now been extended for a further 3 years.</w:t>
      </w:r>
      <w:r>
        <w:rPr>
          <w:rFonts w:cs="Arial"/>
        </w:rPr>
        <w:t xml:space="preserve"> </w:t>
      </w:r>
      <w:r w:rsidRPr="003E4EAD">
        <w:rPr>
          <w:rFonts w:cs="Arial"/>
        </w:rPr>
        <w:t>Qualifying expenditure is expenditure on any project that is designed to generate on-going revenue savings in the delivery of public services and/or transform service delivery to reduce costs and/or transform service delivery in a way that reduces costs or demand for services in future years for any of the public sector delivery partners.</w:t>
      </w:r>
    </w:p>
    <w:p w:rsidR="00B54A4A" w:rsidRDefault="00B54A4A" w:rsidP="00AA3B74">
      <w:pPr>
        <w:pStyle w:val="ListParagraph"/>
        <w:spacing w:after="240"/>
        <w:ind w:left="567" w:right="306"/>
        <w:jc w:val="both"/>
        <w:rPr>
          <w:rFonts w:cs="Arial"/>
        </w:rPr>
      </w:pPr>
    </w:p>
    <w:p w:rsidR="00B54A4A" w:rsidRDefault="00B54A4A" w:rsidP="00AA3B74">
      <w:pPr>
        <w:pStyle w:val="ListParagraph"/>
        <w:numPr>
          <w:ilvl w:val="0"/>
          <w:numId w:val="128"/>
        </w:numPr>
        <w:spacing w:after="240"/>
        <w:ind w:left="567" w:right="306" w:hanging="567"/>
        <w:jc w:val="both"/>
        <w:rPr>
          <w:rFonts w:cs="Arial"/>
        </w:rPr>
      </w:pPr>
      <w:r w:rsidRPr="00B54A4A">
        <w:rPr>
          <w:rFonts w:cs="Arial"/>
        </w:rPr>
        <w:t xml:space="preserve">The </w:t>
      </w:r>
      <w:r w:rsidR="00FC660C">
        <w:rPr>
          <w:rFonts w:cs="Arial"/>
        </w:rPr>
        <w:t>budget assumed using £3.039m of capital flexibilities. The sum actually applied was £1.738m, allowing flexibility of £1.3m to be carried forward and applied in future years</w:t>
      </w:r>
      <w:r w:rsidR="00F56855">
        <w:rPr>
          <w:rFonts w:cs="Arial"/>
        </w:rPr>
        <w:t xml:space="preserve"> </w:t>
      </w:r>
    </w:p>
    <w:p w:rsidR="00B54A4A" w:rsidRDefault="00B54A4A" w:rsidP="00AA3B74">
      <w:pPr>
        <w:pStyle w:val="ListParagraph"/>
        <w:spacing w:after="240"/>
        <w:ind w:left="567" w:right="306"/>
        <w:jc w:val="both"/>
        <w:rPr>
          <w:rFonts w:cs="Arial"/>
        </w:rPr>
      </w:pPr>
    </w:p>
    <w:p w:rsidR="00B54A4A" w:rsidRPr="003E4EAD" w:rsidRDefault="00B54A4A" w:rsidP="00AA3B74">
      <w:pPr>
        <w:pStyle w:val="ListParagraph"/>
        <w:numPr>
          <w:ilvl w:val="0"/>
          <w:numId w:val="128"/>
        </w:numPr>
        <w:spacing w:after="240"/>
        <w:ind w:left="567" w:right="306" w:hanging="567"/>
        <w:jc w:val="both"/>
        <w:rPr>
          <w:rFonts w:cs="Arial"/>
        </w:rPr>
      </w:pPr>
      <w:r w:rsidRPr="00B54A4A">
        <w:rPr>
          <w:rFonts w:cs="Arial"/>
        </w:rPr>
        <w:t>The actual sum identified as qualifying expenditure in 2017/18 was £1.738m compared to the £3.039m in the budget as detailed in Appendix 2 attached</w:t>
      </w:r>
      <w:r>
        <w:rPr>
          <w:rFonts w:cs="Arial"/>
        </w:rPr>
        <w:t>.</w:t>
      </w:r>
    </w:p>
    <w:p w:rsidR="0014770C" w:rsidRPr="00F51D7C" w:rsidRDefault="0014770C" w:rsidP="00AA3B74">
      <w:pPr>
        <w:pStyle w:val="ListParagraph"/>
        <w:jc w:val="both"/>
        <w:rPr>
          <w:rFonts w:cs="Arial"/>
        </w:rPr>
      </w:pPr>
    </w:p>
    <w:p w:rsidR="00DD7468" w:rsidRDefault="0014770C" w:rsidP="00AA3B74">
      <w:pPr>
        <w:ind w:left="426" w:right="304"/>
        <w:jc w:val="both"/>
        <w:rPr>
          <w:rFonts w:cs="Arial"/>
          <w:b/>
        </w:rPr>
      </w:pPr>
      <w:r w:rsidRPr="00BB2D5B">
        <w:rPr>
          <w:rFonts w:cs="Arial"/>
          <w:b/>
        </w:rPr>
        <w:t xml:space="preserve">Other Income </w:t>
      </w:r>
    </w:p>
    <w:p w:rsidR="0014770C" w:rsidRPr="00AA3B74" w:rsidRDefault="0014770C" w:rsidP="00AA3B74">
      <w:pPr>
        <w:pStyle w:val="ListParagraph"/>
        <w:numPr>
          <w:ilvl w:val="0"/>
          <w:numId w:val="128"/>
        </w:numPr>
        <w:suppressAutoHyphens/>
        <w:spacing w:after="200" w:line="276" w:lineRule="auto"/>
        <w:ind w:left="567" w:hanging="567"/>
        <w:jc w:val="both"/>
        <w:rPr>
          <w:rFonts w:cs="Arial"/>
          <w:szCs w:val="24"/>
          <w:lang w:eastAsia="ar-SA"/>
        </w:rPr>
      </w:pPr>
      <w:r w:rsidRPr="005C4C1A">
        <w:rPr>
          <w:rFonts w:cs="Arial"/>
          <w:b/>
        </w:rPr>
        <w:t>(£0.824m)</w:t>
      </w:r>
      <w:r w:rsidRPr="007E3625">
        <w:rPr>
          <w:rFonts w:cs="Arial"/>
        </w:rPr>
        <w:t xml:space="preserve"> of additional income was received after the 2017/18 budget </w:t>
      </w:r>
      <w:r>
        <w:rPr>
          <w:rFonts w:cs="Arial"/>
        </w:rPr>
        <w:t>was set and held centrally.</w:t>
      </w:r>
    </w:p>
    <w:p w:rsidR="00C543D6" w:rsidRPr="0074679A" w:rsidRDefault="00C543D6" w:rsidP="00AA3B74">
      <w:pPr>
        <w:pStyle w:val="ListParagraph"/>
        <w:suppressAutoHyphens/>
        <w:spacing w:after="200" w:line="276" w:lineRule="auto"/>
        <w:ind w:left="567"/>
        <w:jc w:val="both"/>
        <w:rPr>
          <w:rFonts w:cs="Arial"/>
          <w:szCs w:val="24"/>
          <w:lang w:eastAsia="ar-SA"/>
        </w:rPr>
      </w:pPr>
    </w:p>
    <w:p w:rsidR="0014770C" w:rsidRPr="00074EF4" w:rsidRDefault="0014770C">
      <w:pPr>
        <w:ind w:right="304"/>
        <w:jc w:val="both"/>
        <w:rPr>
          <w:rFonts w:cs="Arial"/>
          <w:b/>
        </w:rPr>
      </w:pPr>
      <w:r w:rsidRPr="00074EF4">
        <w:rPr>
          <w:rFonts w:cs="Arial"/>
          <w:b/>
        </w:rPr>
        <w:t>RESERVES</w:t>
      </w:r>
    </w:p>
    <w:p w:rsidR="0014770C" w:rsidRDefault="0014770C">
      <w:pPr>
        <w:pStyle w:val="ListParagraph"/>
        <w:ind w:left="502" w:right="304"/>
        <w:jc w:val="both"/>
        <w:rPr>
          <w:rFonts w:cs="Arial"/>
          <w:color w:val="FF0000"/>
        </w:rPr>
      </w:pPr>
    </w:p>
    <w:p w:rsidR="0074679A" w:rsidRPr="00AA3B74" w:rsidRDefault="0014770C" w:rsidP="00AA3B74">
      <w:pPr>
        <w:pStyle w:val="ListParagraph"/>
        <w:numPr>
          <w:ilvl w:val="0"/>
          <w:numId w:val="128"/>
        </w:numPr>
        <w:suppressAutoHyphens/>
        <w:spacing w:after="200" w:line="276" w:lineRule="auto"/>
        <w:ind w:left="567" w:hanging="567"/>
        <w:jc w:val="both"/>
        <w:rPr>
          <w:rFonts w:cs="Arial"/>
          <w:szCs w:val="24"/>
          <w:lang w:eastAsia="ar-SA"/>
        </w:rPr>
      </w:pPr>
      <w:r w:rsidRPr="00074EF4">
        <w:rPr>
          <w:rFonts w:cs="Arial"/>
        </w:rPr>
        <w:t xml:space="preserve">The </w:t>
      </w:r>
      <w:r>
        <w:rPr>
          <w:rFonts w:cs="Arial"/>
        </w:rPr>
        <w:t xml:space="preserve">main </w:t>
      </w:r>
      <w:r w:rsidRPr="00074EF4">
        <w:rPr>
          <w:rFonts w:cs="Arial"/>
        </w:rPr>
        <w:t xml:space="preserve">reserves </w:t>
      </w:r>
      <w:r>
        <w:rPr>
          <w:rFonts w:cs="Arial"/>
        </w:rPr>
        <w:t>are</w:t>
      </w:r>
      <w:r w:rsidRPr="00074EF4">
        <w:rPr>
          <w:rFonts w:cs="Arial"/>
        </w:rPr>
        <w:t xml:space="preserve"> set out in the </w:t>
      </w:r>
      <w:r>
        <w:rPr>
          <w:rFonts w:cs="Arial"/>
        </w:rPr>
        <w:t xml:space="preserve">following </w:t>
      </w:r>
      <w:r w:rsidRPr="00074EF4">
        <w:rPr>
          <w:rFonts w:cs="Arial"/>
        </w:rPr>
        <w:t>table</w:t>
      </w:r>
      <w:r>
        <w:rPr>
          <w:rFonts w:cs="Arial"/>
        </w:rPr>
        <w:t>, supported by narrative. A more detailed analysis of the movement in reserves is set out in Appendix 3.</w:t>
      </w:r>
    </w:p>
    <w:p w:rsidR="00464C08" w:rsidRDefault="00464C08" w:rsidP="00AA3B74">
      <w:pPr>
        <w:suppressAutoHyphens/>
        <w:spacing w:after="100" w:afterAutospacing="1" w:line="276" w:lineRule="auto"/>
        <w:ind w:right="5443"/>
        <w:jc w:val="both"/>
        <w:rPr>
          <w:rFonts w:cs="Arial"/>
          <w:b/>
          <w:szCs w:val="24"/>
          <w:u w:val="single"/>
          <w:lang w:eastAsia="ar-SA"/>
        </w:rPr>
      </w:pPr>
    </w:p>
    <w:p w:rsidR="007D7563" w:rsidRDefault="007A7ECD" w:rsidP="00AA3B74">
      <w:pPr>
        <w:suppressAutoHyphens/>
        <w:spacing w:after="100" w:afterAutospacing="1" w:line="276" w:lineRule="auto"/>
        <w:ind w:right="5443"/>
        <w:jc w:val="both"/>
      </w:pPr>
      <w:r w:rsidRPr="00AA3B74">
        <w:rPr>
          <w:rFonts w:cs="Arial"/>
          <w:b/>
          <w:szCs w:val="24"/>
          <w:u w:val="single"/>
          <w:lang w:eastAsia="ar-SA"/>
        </w:rPr>
        <w:t xml:space="preserve">Table 2: Movement </w:t>
      </w:r>
      <w:proofErr w:type="gramStart"/>
      <w:r w:rsidRPr="00AA3B74">
        <w:rPr>
          <w:rFonts w:cs="Arial"/>
          <w:b/>
          <w:szCs w:val="24"/>
          <w:u w:val="single"/>
          <w:lang w:eastAsia="ar-SA"/>
        </w:rPr>
        <w:t>In</w:t>
      </w:r>
      <w:proofErr w:type="gramEnd"/>
      <w:r w:rsidRPr="00AA3B74">
        <w:rPr>
          <w:rFonts w:cs="Arial"/>
          <w:b/>
          <w:szCs w:val="24"/>
          <w:u w:val="single"/>
          <w:lang w:eastAsia="ar-SA"/>
        </w:rPr>
        <w:t xml:space="preserve"> Main </w:t>
      </w:r>
      <w:r>
        <w:rPr>
          <w:rFonts w:cs="Arial"/>
          <w:b/>
          <w:szCs w:val="24"/>
          <w:u w:val="single"/>
          <w:lang w:eastAsia="ar-SA"/>
        </w:rPr>
        <w:t>R</w:t>
      </w:r>
      <w:r w:rsidRPr="00AA3B74">
        <w:rPr>
          <w:rFonts w:cs="Arial"/>
          <w:b/>
          <w:szCs w:val="24"/>
          <w:u w:val="single"/>
          <w:lang w:eastAsia="ar-SA"/>
        </w:rPr>
        <w:t>eserves</w:t>
      </w:r>
      <w:r w:rsidR="00C95DD7" w:rsidRPr="00C95DD7">
        <w:rPr>
          <w:noProof/>
          <w:lang w:eastAsia="en-GB"/>
        </w:rPr>
        <w:t xml:space="preserve"> </w:t>
      </w:r>
      <w:r w:rsidR="00C95DD7" w:rsidRPr="00C95DD7">
        <w:rPr>
          <w:noProof/>
          <w:lang w:eastAsia="en-GB"/>
        </w:rPr>
        <w:drawing>
          <wp:inline distT="0" distB="0" distL="0" distR="0" wp14:anchorId="3A596DA4" wp14:editId="13D00D04">
            <wp:extent cx="6122035" cy="367392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035" cy="3673923"/>
                    </a:xfrm>
                    <a:prstGeom prst="rect">
                      <a:avLst/>
                    </a:prstGeom>
                    <a:noFill/>
                    <a:ln>
                      <a:noFill/>
                    </a:ln>
                  </pic:spPr>
                </pic:pic>
              </a:graphicData>
            </a:graphic>
          </wp:inline>
        </w:drawing>
      </w:r>
    </w:p>
    <w:p w:rsidR="0074679A" w:rsidRDefault="0014770C" w:rsidP="00AA3B74">
      <w:pPr>
        <w:pStyle w:val="ListParagraph"/>
        <w:numPr>
          <w:ilvl w:val="0"/>
          <w:numId w:val="128"/>
        </w:numPr>
        <w:suppressAutoHyphens/>
        <w:spacing w:after="200" w:line="276" w:lineRule="auto"/>
        <w:ind w:left="567" w:hanging="567"/>
        <w:jc w:val="both"/>
        <w:rPr>
          <w:rFonts w:cs="Arial"/>
          <w:szCs w:val="24"/>
          <w:lang w:eastAsia="ar-SA"/>
        </w:rPr>
      </w:pPr>
      <w:r w:rsidRPr="0014770C">
        <w:rPr>
          <w:rFonts w:cs="Arial"/>
          <w:b/>
          <w:szCs w:val="24"/>
          <w:lang w:eastAsia="ar-SA"/>
        </w:rPr>
        <w:t>Revenue Grant Reserve</w:t>
      </w:r>
      <w:r w:rsidRPr="0014770C">
        <w:rPr>
          <w:rFonts w:cs="Arial"/>
          <w:szCs w:val="24"/>
          <w:lang w:eastAsia="ar-SA"/>
        </w:rPr>
        <w:t xml:space="preserve"> – This reserve contains revenue grants to be used for specific purposes or which may be subject to claw back if conditions of the grant are not met.  The net contribution to this reserve in 2017/18 is £2.223m</w:t>
      </w:r>
      <w:r>
        <w:rPr>
          <w:rFonts w:cs="Arial"/>
          <w:szCs w:val="24"/>
          <w:lang w:eastAsia="ar-SA"/>
        </w:rPr>
        <w:t>.</w:t>
      </w:r>
    </w:p>
    <w:p w:rsidR="0014770C" w:rsidRDefault="004A4912" w:rsidP="00AA3B74">
      <w:pPr>
        <w:pStyle w:val="ListParagraph"/>
        <w:tabs>
          <w:tab w:val="left" w:pos="793"/>
        </w:tabs>
        <w:suppressAutoHyphens/>
        <w:spacing w:after="200" w:line="276" w:lineRule="auto"/>
        <w:ind w:left="360"/>
        <w:jc w:val="both"/>
        <w:rPr>
          <w:rFonts w:cs="Arial"/>
          <w:szCs w:val="24"/>
          <w:lang w:eastAsia="ar-SA"/>
        </w:rPr>
      </w:pPr>
      <w:r>
        <w:rPr>
          <w:rFonts w:cs="Arial"/>
          <w:szCs w:val="24"/>
          <w:lang w:eastAsia="ar-SA"/>
        </w:rPr>
        <w:tab/>
      </w:r>
    </w:p>
    <w:p w:rsidR="0014770C" w:rsidRPr="0014770C" w:rsidRDefault="0014770C" w:rsidP="00AA3B74">
      <w:pPr>
        <w:pStyle w:val="ListParagraph"/>
        <w:numPr>
          <w:ilvl w:val="0"/>
          <w:numId w:val="128"/>
        </w:numPr>
        <w:suppressAutoHyphens/>
        <w:spacing w:after="200" w:line="276" w:lineRule="auto"/>
        <w:ind w:left="567" w:hanging="567"/>
        <w:jc w:val="both"/>
        <w:rPr>
          <w:rFonts w:cs="Arial"/>
          <w:b/>
          <w:szCs w:val="24"/>
          <w:lang w:eastAsia="ar-SA"/>
        </w:rPr>
      </w:pPr>
      <w:r w:rsidRPr="0014770C">
        <w:rPr>
          <w:rFonts w:cs="Arial"/>
          <w:b/>
          <w:szCs w:val="24"/>
          <w:lang w:eastAsia="ar-SA"/>
        </w:rPr>
        <w:t xml:space="preserve">Business Risk Reserve - </w:t>
      </w:r>
      <w:r w:rsidRPr="0014770C">
        <w:rPr>
          <w:rFonts w:cs="Arial"/>
          <w:szCs w:val="24"/>
          <w:lang w:eastAsia="ar-SA"/>
        </w:rPr>
        <w:t>This reserve was established as part of the 2012/13 outturn to provide for a number of identified business risks. There have been no drawdowns during the year</w:t>
      </w:r>
      <w:r w:rsidR="003B6062">
        <w:rPr>
          <w:rFonts w:cs="Arial"/>
          <w:szCs w:val="24"/>
          <w:lang w:eastAsia="ar-SA"/>
        </w:rPr>
        <w:t xml:space="preserve"> and the balance of £2.109m has been transferred to the Budget planning reserve.</w:t>
      </w:r>
    </w:p>
    <w:p w:rsidR="0014770C" w:rsidRPr="0014770C" w:rsidRDefault="0014770C" w:rsidP="00AA3B74">
      <w:pPr>
        <w:pStyle w:val="ListParagraph"/>
        <w:suppressAutoHyphens/>
        <w:spacing w:after="200" w:line="276" w:lineRule="auto"/>
        <w:ind w:left="360"/>
        <w:jc w:val="both"/>
        <w:rPr>
          <w:rFonts w:cs="Arial"/>
          <w:b/>
          <w:szCs w:val="24"/>
          <w:lang w:eastAsia="ar-SA"/>
        </w:rPr>
      </w:pPr>
    </w:p>
    <w:p w:rsidR="0014770C" w:rsidRPr="0014770C" w:rsidRDefault="0014770C" w:rsidP="00AA3B74">
      <w:pPr>
        <w:pStyle w:val="ListParagraph"/>
        <w:numPr>
          <w:ilvl w:val="0"/>
          <w:numId w:val="128"/>
        </w:numPr>
        <w:suppressAutoHyphens/>
        <w:spacing w:after="200" w:line="276" w:lineRule="auto"/>
        <w:ind w:left="567" w:hanging="567"/>
        <w:jc w:val="both"/>
        <w:rPr>
          <w:rFonts w:cs="Arial"/>
          <w:b/>
          <w:szCs w:val="24"/>
          <w:lang w:eastAsia="ar-SA"/>
        </w:rPr>
      </w:pPr>
      <w:r w:rsidRPr="0014770C">
        <w:rPr>
          <w:rFonts w:cs="Arial"/>
          <w:b/>
          <w:szCs w:val="24"/>
          <w:lang w:eastAsia="ar-SA"/>
        </w:rPr>
        <w:t>Medium Term Financial Strategy Implementation Reserve</w:t>
      </w:r>
      <w:r w:rsidR="007D7563">
        <w:rPr>
          <w:rFonts w:cs="Arial"/>
          <w:b/>
          <w:szCs w:val="24"/>
          <w:lang w:eastAsia="ar-SA"/>
        </w:rPr>
        <w:t xml:space="preserve"> (MTFS)</w:t>
      </w:r>
      <w:r w:rsidRPr="0014770C">
        <w:rPr>
          <w:rFonts w:cs="Arial"/>
          <w:b/>
          <w:szCs w:val="24"/>
          <w:lang w:eastAsia="ar-SA"/>
        </w:rPr>
        <w:t xml:space="preserve"> – </w:t>
      </w:r>
      <w:r w:rsidRPr="0014770C">
        <w:rPr>
          <w:rFonts w:cs="Arial"/>
          <w:szCs w:val="24"/>
          <w:lang w:eastAsia="ar-SA"/>
        </w:rPr>
        <w:t>This reserve is earmarked to facilitate the achievement of MTFS savings. The balance at the start of the year was £2.857m,  £0.4</w:t>
      </w:r>
      <w:r w:rsidR="00FC156F">
        <w:rPr>
          <w:rFonts w:cs="Arial"/>
          <w:szCs w:val="24"/>
          <w:lang w:eastAsia="ar-SA"/>
        </w:rPr>
        <w:t>16</w:t>
      </w:r>
      <w:r w:rsidRPr="0014770C">
        <w:rPr>
          <w:rFonts w:cs="Arial"/>
          <w:szCs w:val="24"/>
          <w:lang w:eastAsia="ar-SA"/>
        </w:rPr>
        <w:t>m has been drawn down in the year to fund redundancy and pension strain costs, which leaves a balance of £2.</w:t>
      </w:r>
      <w:r w:rsidR="00FC156F">
        <w:rPr>
          <w:rFonts w:cs="Arial"/>
          <w:szCs w:val="24"/>
          <w:lang w:eastAsia="ar-SA"/>
        </w:rPr>
        <w:t>441</w:t>
      </w:r>
      <w:r w:rsidRPr="0014770C">
        <w:rPr>
          <w:rFonts w:cs="Arial"/>
          <w:szCs w:val="24"/>
          <w:lang w:eastAsia="ar-SA"/>
        </w:rPr>
        <w:t>m</w:t>
      </w:r>
    </w:p>
    <w:p w:rsidR="0014770C" w:rsidRPr="0014770C" w:rsidRDefault="0014770C" w:rsidP="00AA3B74">
      <w:pPr>
        <w:pStyle w:val="ListParagraph"/>
        <w:suppressAutoHyphens/>
        <w:spacing w:after="200" w:line="276" w:lineRule="auto"/>
        <w:ind w:left="360"/>
        <w:jc w:val="both"/>
        <w:rPr>
          <w:rFonts w:cs="Arial"/>
          <w:b/>
          <w:szCs w:val="24"/>
          <w:lang w:eastAsia="ar-SA"/>
        </w:rPr>
      </w:pPr>
    </w:p>
    <w:p w:rsidR="0014770C" w:rsidRPr="0014770C" w:rsidRDefault="0014770C" w:rsidP="00AA3B74">
      <w:pPr>
        <w:pStyle w:val="ListParagraph"/>
        <w:numPr>
          <w:ilvl w:val="0"/>
          <w:numId w:val="128"/>
        </w:numPr>
        <w:suppressAutoHyphens/>
        <w:spacing w:after="200" w:line="276" w:lineRule="auto"/>
        <w:ind w:left="567" w:hanging="567"/>
        <w:jc w:val="both"/>
        <w:rPr>
          <w:rFonts w:cs="Arial"/>
          <w:szCs w:val="24"/>
          <w:lang w:eastAsia="ar-SA"/>
        </w:rPr>
      </w:pPr>
      <w:r w:rsidRPr="0014770C">
        <w:rPr>
          <w:rFonts w:cs="Arial"/>
          <w:b/>
          <w:szCs w:val="24"/>
          <w:lang w:eastAsia="ar-SA"/>
        </w:rPr>
        <w:t>Transformation and Priority Initiatives Fund</w:t>
      </w:r>
      <w:r w:rsidRPr="0014770C">
        <w:rPr>
          <w:rFonts w:cs="Arial"/>
          <w:szCs w:val="24"/>
          <w:lang w:eastAsia="ar-SA"/>
        </w:rPr>
        <w:t xml:space="preserve"> </w:t>
      </w:r>
      <w:r w:rsidR="007D7563" w:rsidRPr="00A37874">
        <w:rPr>
          <w:rFonts w:cs="Arial"/>
          <w:b/>
          <w:szCs w:val="24"/>
          <w:lang w:eastAsia="ar-SA"/>
        </w:rPr>
        <w:t>(TPIF)</w:t>
      </w:r>
      <w:r w:rsidR="007D7563">
        <w:rPr>
          <w:rFonts w:cs="Arial"/>
          <w:szCs w:val="24"/>
          <w:lang w:eastAsia="ar-SA"/>
        </w:rPr>
        <w:t xml:space="preserve"> </w:t>
      </w:r>
      <w:r w:rsidRPr="0014770C">
        <w:rPr>
          <w:rFonts w:cs="Arial"/>
          <w:szCs w:val="24"/>
          <w:lang w:eastAsia="ar-SA"/>
        </w:rPr>
        <w:t xml:space="preserve">- The balance at 1 April 2017 was £2.534m. During the year £1.508m was drawn down from the reserve to fund both revenue and capital expenditure, </w:t>
      </w:r>
      <w:r w:rsidR="00FC156F">
        <w:rPr>
          <w:rFonts w:cs="Arial"/>
          <w:szCs w:val="24"/>
          <w:lang w:eastAsia="ar-SA"/>
        </w:rPr>
        <w:t xml:space="preserve">and the balance </w:t>
      </w:r>
      <w:r w:rsidR="008E0856">
        <w:rPr>
          <w:rFonts w:cs="Arial"/>
          <w:szCs w:val="24"/>
          <w:lang w:eastAsia="ar-SA"/>
        </w:rPr>
        <w:t xml:space="preserve">of £0.800m </w:t>
      </w:r>
      <w:r w:rsidR="00FC156F">
        <w:rPr>
          <w:rFonts w:cs="Arial"/>
          <w:szCs w:val="24"/>
          <w:lang w:eastAsia="ar-SA"/>
        </w:rPr>
        <w:t>on the Standing Up For Those In Need reserve have been transferred to this reserve</w:t>
      </w:r>
      <w:r w:rsidR="008E0856">
        <w:rPr>
          <w:rFonts w:cs="Arial"/>
          <w:szCs w:val="24"/>
          <w:lang w:eastAsia="ar-SA"/>
        </w:rPr>
        <w:t>,</w:t>
      </w:r>
      <w:r w:rsidR="00FC156F">
        <w:rPr>
          <w:rFonts w:cs="Arial"/>
          <w:szCs w:val="24"/>
          <w:lang w:eastAsia="ar-SA"/>
        </w:rPr>
        <w:t xml:space="preserve"> </w:t>
      </w:r>
      <w:r w:rsidRPr="0014770C">
        <w:rPr>
          <w:rFonts w:cs="Arial"/>
          <w:szCs w:val="24"/>
          <w:lang w:eastAsia="ar-SA"/>
        </w:rPr>
        <w:t>which leaves a balance of £1.</w:t>
      </w:r>
      <w:r w:rsidR="008E0856">
        <w:rPr>
          <w:rFonts w:cs="Arial"/>
          <w:szCs w:val="24"/>
          <w:lang w:eastAsia="ar-SA"/>
        </w:rPr>
        <w:t>826</w:t>
      </w:r>
      <w:r w:rsidRPr="0014770C">
        <w:rPr>
          <w:rFonts w:cs="Arial"/>
          <w:szCs w:val="24"/>
          <w:lang w:eastAsia="ar-SA"/>
        </w:rPr>
        <w:t xml:space="preserve">m. Draw downs totalled £1.508m and </w:t>
      </w:r>
      <w:r w:rsidR="008E0856">
        <w:rPr>
          <w:rFonts w:cs="Arial"/>
          <w:szCs w:val="24"/>
          <w:lang w:eastAsia="ar-SA"/>
        </w:rPr>
        <w:t>t</w:t>
      </w:r>
      <w:r w:rsidRPr="0014770C">
        <w:rPr>
          <w:rFonts w:cs="Arial"/>
          <w:szCs w:val="24"/>
          <w:lang w:eastAsia="ar-SA"/>
        </w:rPr>
        <w:t>he main items are detailed below;</w:t>
      </w:r>
    </w:p>
    <w:p w:rsidR="0014770C" w:rsidRPr="0014770C" w:rsidRDefault="0014770C" w:rsidP="00AA3B74">
      <w:pPr>
        <w:pStyle w:val="ListParagraph"/>
        <w:suppressAutoHyphens/>
        <w:spacing w:after="200" w:line="276" w:lineRule="auto"/>
        <w:ind w:left="360"/>
        <w:jc w:val="both"/>
        <w:rPr>
          <w:rFonts w:cs="Arial"/>
          <w:szCs w:val="24"/>
          <w:lang w:eastAsia="ar-SA"/>
        </w:rPr>
      </w:pPr>
    </w:p>
    <w:p w:rsidR="0014770C" w:rsidRPr="0014770C" w:rsidRDefault="000F6B16" w:rsidP="00AA3B74">
      <w:pPr>
        <w:pStyle w:val="ListParagraph"/>
        <w:numPr>
          <w:ilvl w:val="0"/>
          <w:numId w:val="109"/>
        </w:numPr>
        <w:suppressAutoHyphens/>
        <w:spacing w:after="200" w:line="276" w:lineRule="auto"/>
        <w:jc w:val="both"/>
        <w:rPr>
          <w:rFonts w:cs="Arial"/>
          <w:szCs w:val="24"/>
          <w:lang w:eastAsia="ar-SA"/>
        </w:rPr>
      </w:pPr>
      <w:r>
        <w:rPr>
          <w:rFonts w:cs="Arial"/>
          <w:szCs w:val="24"/>
          <w:lang w:eastAsia="ar-SA"/>
        </w:rPr>
        <w:t xml:space="preserve">Awards </w:t>
      </w:r>
      <w:r w:rsidR="0014770C" w:rsidRPr="0014770C">
        <w:rPr>
          <w:rFonts w:cs="Arial"/>
          <w:szCs w:val="24"/>
          <w:lang w:eastAsia="ar-SA"/>
        </w:rPr>
        <w:t>f</w:t>
      </w:r>
      <w:r>
        <w:rPr>
          <w:rFonts w:cs="Arial"/>
          <w:szCs w:val="24"/>
          <w:lang w:eastAsia="ar-SA"/>
        </w:rPr>
        <w:t>or</w:t>
      </w:r>
      <w:r w:rsidR="0014770C" w:rsidRPr="0014770C">
        <w:rPr>
          <w:rFonts w:cs="Arial"/>
          <w:szCs w:val="24"/>
          <w:lang w:eastAsia="ar-SA"/>
        </w:rPr>
        <w:t xml:space="preserve"> M</w:t>
      </w:r>
      <w:r>
        <w:rPr>
          <w:rFonts w:cs="Arial"/>
          <w:szCs w:val="24"/>
          <w:lang w:eastAsia="ar-SA"/>
        </w:rPr>
        <w:t>ajor</w:t>
      </w:r>
      <w:r w:rsidR="0014770C" w:rsidRPr="0014770C">
        <w:rPr>
          <w:rFonts w:cs="Arial"/>
          <w:szCs w:val="24"/>
          <w:lang w:eastAsia="ar-SA"/>
        </w:rPr>
        <w:t xml:space="preserve"> Projects</w:t>
      </w:r>
      <w:r>
        <w:rPr>
          <w:rFonts w:cs="Arial"/>
          <w:szCs w:val="24"/>
          <w:lang w:eastAsia="ar-SA"/>
        </w:rPr>
        <w:t xml:space="preserve"> (AMP)</w:t>
      </w:r>
      <w:r w:rsidR="0014770C" w:rsidRPr="0014770C">
        <w:rPr>
          <w:rFonts w:cs="Arial"/>
          <w:szCs w:val="24"/>
          <w:lang w:eastAsia="ar-SA"/>
        </w:rPr>
        <w:t xml:space="preserve"> -   £0.427m</w:t>
      </w:r>
    </w:p>
    <w:p w:rsidR="0014770C" w:rsidRPr="0014770C" w:rsidRDefault="0014770C" w:rsidP="00AA3B74">
      <w:pPr>
        <w:pStyle w:val="ListParagraph"/>
        <w:numPr>
          <w:ilvl w:val="0"/>
          <w:numId w:val="109"/>
        </w:numPr>
        <w:suppressAutoHyphens/>
        <w:spacing w:after="200" w:line="276" w:lineRule="auto"/>
        <w:jc w:val="both"/>
        <w:rPr>
          <w:rFonts w:cs="Arial"/>
          <w:szCs w:val="24"/>
          <w:lang w:eastAsia="ar-SA"/>
        </w:rPr>
      </w:pPr>
      <w:r w:rsidRPr="0014770C">
        <w:rPr>
          <w:rFonts w:cs="Arial"/>
          <w:szCs w:val="24"/>
          <w:lang w:eastAsia="ar-SA"/>
        </w:rPr>
        <w:t>Making Harrow Clean Again  - £0.300m</w:t>
      </w:r>
    </w:p>
    <w:p w:rsidR="0014770C" w:rsidRPr="0014770C" w:rsidRDefault="0014770C" w:rsidP="00AA3B74">
      <w:pPr>
        <w:pStyle w:val="ListParagraph"/>
        <w:numPr>
          <w:ilvl w:val="0"/>
          <w:numId w:val="109"/>
        </w:numPr>
        <w:suppressAutoHyphens/>
        <w:spacing w:after="200" w:line="276" w:lineRule="auto"/>
        <w:jc w:val="both"/>
        <w:rPr>
          <w:rFonts w:cs="Arial"/>
          <w:szCs w:val="24"/>
          <w:lang w:eastAsia="ar-SA"/>
        </w:rPr>
      </w:pPr>
      <w:r w:rsidRPr="0014770C">
        <w:rPr>
          <w:rFonts w:cs="Arial"/>
          <w:szCs w:val="24"/>
          <w:lang w:eastAsia="ar-SA"/>
        </w:rPr>
        <w:t>Improving the street scene (Fly tipping) - £0.244m</w:t>
      </w:r>
    </w:p>
    <w:p w:rsidR="0014770C" w:rsidRPr="0014770C" w:rsidRDefault="0014770C" w:rsidP="00AA3B74">
      <w:pPr>
        <w:pStyle w:val="ListParagraph"/>
        <w:numPr>
          <w:ilvl w:val="0"/>
          <w:numId w:val="109"/>
        </w:numPr>
        <w:suppressAutoHyphens/>
        <w:spacing w:after="200" w:line="276" w:lineRule="auto"/>
        <w:jc w:val="both"/>
        <w:rPr>
          <w:rFonts w:cs="Arial"/>
          <w:szCs w:val="24"/>
          <w:lang w:eastAsia="ar-SA"/>
        </w:rPr>
      </w:pPr>
      <w:r w:rsidRPr="0014770C">
        <w:rPr>
          <w:rFonts w:cs="Arial"/>
          <w:szCs w:val="24"/>
          <w:lang w:eastAsia="ar-SA"/>
        </w:rPr>
        <w:t>Fighting Domestic Violence -  £0.113m</w:t>
      </w:r>
    </w:p>
    <w:p w:rsidR="0014770C" w:rsidRPr="0014770C" w:rsidRDefault="0014770C" w:rsidP="00AA3B74">
      <w:pPr>
        <w:pStyle w:val="ListParagraph"/>
        <w:numPr>
          <w:ilvl w:val="0"/>
          <w:numId w:val="109"/>
        </w:numPr>
        <w:suppressAutoHyphens/>
        <w:spacing w:after="200" w:line="276" w:lineRule="auto"/>
        <w:jc w:val="both"/>
        <w:rPr>
          <w:rFonts w:cs="Arial"/>
          <w:szCs w:val="24"/>
          <w:lang w:eastAsia="ar-SA"/>
        </w:rPr>
      </w:pPr>
      <w:r w:rsidRPr="0014770C">
        <w:rPr>
          <w:rFonts w:cs="Arial"/>
          <w:szCs w:val="24"/>
          <w:lang w:eastAsia="ar-SA"/>
        </w:rPr>
        <w:t xml:space="preserve">CA Site </w:t>
      </w:r>
      <w:r w:rsidR="005314CD" w:rsidRPr="0014770C">
        <w:rPr>
          <w:rFonts w:cs="Arial"/>
          <w:szCs w:val="24"/>
          <w:lang w:eastAsia="ar-SA"/>
        </w:rPr>
        <w:t>Traffic</w:t>
      </w:r>
      <w:r w:rsidRPr="0014770C">
        <w:rPr>
          <w:rFonts w:cs="Arial"/>
          <w:szCs w:val="24"/>
          <w:lang w:eastAsia="ar-SA"/>
        </w:rPr>
        <w:t xml:space="preserve"> Management  - £0.077m</w:t>
      </w:r>
    </w:p>
    <w:p w:rsidR="0014770C" w:rsidRPr="0014770C" w:rsidRDefault="0014770C" w:rsidP="00AA3B74">
      <w:pPr>
        <w:pStyle w:val="ListParagraph"/>
        <w:numPr>
          <w:ilvl w:val="0"/>
          <w:numId w:val="109"/>
        </w:numPr>
        <w:suppressAutoHyphens/>
        <w:spacing w:after="200" w:line="276" w:lineRule="auto"/>
        <w:jc w:val="both"/>
        <w:rPr>
          <w:rFonts w:cs="Arial"/>
          <w:szCs w:val="24"/>
          <w:lang w:eastAsia="ar-SA"/>
        </w:rPr>
      </w:pPr>
      <w:proofErr w:type="spellStart"/>
      <w:r w:rsidRPr="0014770C">
        <w:rPr>
          <w:rFonts w:cs="Arial"/>
          <w:szCs w:val="24"/>
          <w:lang w:eastAsia="ar-SA"/>
        </w:rPr>
        <w:t>Sancroft</w:t>
      </w:r>
      <w:proofErr w:type="spellEnd"/>
      <w:r w:rsidRPr="0014770C">
        <w:rPr>
          <w:rFonts w:cs="Arial"/>
          <w:szCs w:val="24"/>
          <w:lang w:eastAsia="ar-SA"/>
        </w:rPr>
        <w:t xml:space="preserve">  project  - £0.120m</w:t>
      </w:r>
    </w:p>
    <w:p w:rsidR="0014770C" w:rsidRPr="0014770C" w:rsidRDefault="0014770C" w:rsidP="00AA3B74">
      <w:pPr>
        <w:pStyle w:val="ListParagraph"/>
        <w:numPr>
          <w:ilvl w:val="0"/>
          <w:numId w:val="109"/>
        </w:numPr>
        <w:suppressAutoHyphens/>
        <w:spacing w:after="200" w:line="276" w:lineRule="auto"/>
        <w:jc w:val="both"/>
        <w:rPr>
          <w:rFonts w:cs="Arial"/>
          <w:szCs w:val="24"/>
          <w:lang w:eastAsia="ar-SA"/>
        </w:rPr>
      </w:pPr>
      <w:r w:rsidRPr="0014770C">
        <w:rPr>
          <w:rFonts w:cs="Arial"/>
          <w:szCs w:val="24"/>
          <w:lang w:eastAsia="ar-SA"/>
        </w:rPr>
        <w:t>Combating Street Trading - £0.027m</w:t>
      </w:r>
    </w:p>
    <w:p w:rsidR="0014770C" w:rsidRDefault="0014770C" w:rsidP="00AA3B74">
      <w:pPr>
        <w:pStyle w:val="ListParagraph"/>
        <w:numPr>
          <w:ilvl w:val="0"/>
          <w:numId w:val="109"/>
        </w:numPr>
        <w:suppressAutoHyphens/>
        <w:spacing w:after="200" w:line="276" w:lineRule="auto"/>
        <w:jc w:val="both"/>
        <w:rPr>
          <w:rFonts w:cs="Arial"/>
          <w:szCs w:val="24"/>
          <w:lang w:eastAsia="ar-SA"/>
        </w:rPr>
      </w:pPr>
      <w:r w:rsidRPr="0014770C">
        <w:rPr>
          <w:rFonts w:cs="Arial"/>
          <w:szCs w:val="24"/>
          <w:lang w:eastAsia="ar-SA"/>
        </w:rPr>
        <w:t>Food Strategy  - £0.080m</w:t>
      </w:r>
    </w:p>
    <w:p w:rsidR="0014770C" w:rsidRPr="0014770C" w:rsidRDefault="0014770C" w:rsidP="00AA3B74">
      <w:pPr>
        <w:pStyle w:val="ListParagraph"/>
        <w:suppressAutoHyphens/>
        <w:spacing w:after="200" w:line="276" w:lineRule="auto"/>
        <w:ind w:left="360"/>
        <w:jc w:val="both"/>
        <w:rPr>
          <w:rFonts w:cs="Arial"/>
          <w:szCs w:val="24"/>
          <w:lang w:eastAsia="ar-SA"/>
        </w:rPr>
      </w:pPr>
    </w:p>
    <w:p w:rsidR="0014770C" w:rsidRDefault="0014770C" w:rsidP="00AA3B74">
      <w:pPr>
        <w:pStyle w:val="ListParagraph"/>
        <w:numPr>
          <w:ilvl w:val="0"/>
          <w:numId w:val="128"/>
        </w:numPr>
        <w:suppressAutoHyphens/>
        <w:spacing w:after="200" w:line="276" w:lineRule="auto"/>
        <w:ind w:left="567" w:hanging="567"/>
        <w:jc w:val="both"/>
        <w:rPr>
          <w:rFonts w:cs="Arial"/>
          <w:szCs w:val="24"/>
          <w:lang w:eastAsia="ar-SA"/>
        </w:rPr>
      </w:pPr>
      <w:r w:rsidRPr="0014770C">
        <w:rPr>
          <w:rFonts w:cs="Arial"/>
          <w:b/>
          <w:szCs w:val="24"/>
          <w:lang w:eastAsia="ar-SA"/>
        </w:rPr>
        <w:t>Commercialisation Reserve</w:t>
      </w:r>
      <w:r w:rsidRPr="0014770C">
        <w:rPr>
          <w:rFonts w:cs="Arial"/>
          <w:szCs w:val="24"/>
          <w:lang w:eastAsia="ar-SA"/>
        </w:rPr>
        <w:t xml:space="preserve"> – The balance at the beginning of the year was £0.405m. During the year £0.050m was drawn down for Project Infinity which leaves a balance of £0.355m.</w:t>
      </w:r>
    </w:p>
    <w:p w:rsidR="004E50D3" w:rsidRPr="0014770C" w:rsidRDefault="004E50D3" w:rsidP="00AA3B74">
      <w:pPr>
        <w:pStyle w:val="ListParagraph"/>
        <w:suppressAutoHyphens/>
        <w:spacing w:after="200" w:line="276" w:lineRule="auto"/>
        <w:ind w:left="567"/>
        <w:jc w:val="both"/>
        <w:rPr>
          <w:rFonts w:cs="Arial"/>
          <w:szCs w:val="24"/>
          <w:lang w:eastAsia="ar-SA"/>
        </w:rPr>
      </w:pPr>
    </w:p>
    <w:p w:rsidR="0014770C" w:rsidRPr="0014770C" w:rsidRDefault="0014770C" w:rsidP="00AA3B74">
      <w:pPr>
        <w:pStyle w:val="ListParagraph"/>
        <w:numPr>
          <w:ilvl w:val="0"/>
          <w:numId w:val="128"/>
        </w:numPr>
        <w:suppressAutoHyphens/>
        <w:spacing w:after="200" w:line="276" w:lineRule="auto"/>
        <w:ind w:left="567" w:hanging="567"/>
        <w:jc w:val="both"/>
        <w:rPr>
          <w:rFonts w:cs="Arial"/>
          <w:szCs w:val="24"/>
          <w:lang w:eastAsia="ar-SA"/>
        </w:rPr>
      </w:pPr>
      <w:r w:rsidRPr="0014770C">
        <w:rPr>
          <w:rFonts w:cs="Arial"/>
          <w:b/>
          <w:szCs w:val="24"/>
          <w:lang w:eastAsia="ar-SA"/>
        </w:rPr>
        <w:t>Budget Planning Reserve</w:t>
      </w:r>
      <w:r w:rsidRPr="0014770C">
        <w:rPr>
          <w:rFonts w:cs="Arial"/>
          <w:szCs w:val="24"/>
          <w:lang w:eastAsia="ar-SA"/>
        </w:rPr>
        <w:t xml:space="preserve"> – The balance at the beginning of the year 1 April 2017 was £2m. It was assumed that £1m would be draw</w:t>
      </w:r>
      <w:r w:rsidR="00BE2DC6">
        <w:rPr>
          <w:rFonts w:cs="Arial"/>
          <w:szCs w:val="24"/>
          <w:lang w:eastAsia="ar-SA"/>
        </w:rPr>
        <w:t>n</w:t>
      </w:r>
      <w:r w:rsidRPr="0014770C">
        <w:rPr>
          <w:rFonts w:cs="Arial"/>
          <w:szCs w:val="24"/>
          <w:lang w:eastAsia="ar-SA"/>
        </w:rPr>
        <w:t xml:space="preserve"> down into the 2017/18 budget </w:t>
      </w:r>
      <w:r w:rsidR="00D70251">
        <w:rPr>
          <w:rFonts w:cs="Arial"/>
          <w:szCs w:val="24"/>
          <w:lang w:eastAsia="ar-SA"/>
        </w:rPr>
        <w:t xml:space="preserve">which is now no longer </w:t>
      </w:r>
      <w:r w:rsidR="00BE2DC6">
        <w:rPr>
          <w:rFonts w:cs="Arial"/>
          <w:szCs w:val="24"/>
          <w:lang w:eastAsia="ar-SA"/>
        </w:rPr>
        <w:t>required</w:t>
      </w:r>
      <w:r w:rsidRPr="0014770C">
        <w:rPr>
          <w:rFonts w:cs="Arial"/>
          <w:szCs w:val="24"/>
          <w:lang w:eastAsia="ar-SA"/>
        </w:rPr>
        <w:t xml:space="preserve">. </w:t>
      </w:r>
      <w:r w:rsidR="00FC660C">
        <w:rPr>
          <w:rFonts w:cs="Arial"/>
          <w:szCs w:val="24"/>
          <w:lang w:eastAsia="ar-SA"/>
        </w:rPr>
        <w:t>T</w:t>
      </w:r>
      <w:r w:rsidRPr="0014770C">
        <w:rPr>
          <w:rFonts w:cs="Arial"/>
          <w:szCs w:val="24"/>
          <w:lang w:eastAsia="ar-SA"/>
        </w:rPr>
        <w:t>he 2017/18</w:t>
      </w:r>
      <w:r w:rsidR="00983A1E">
        <w:rPr>
          <w:rFonts w:cs="Arial"/>
          <w:szCs w:val="24"/>
          <w:lang w:eastAsia="ar-SA"/>
        </w:rPr>
        <w:t xml:space="preserve"> </w:t>
      </w:r>
      <w:r w:rsidR="00FC660C">
        <w:rPr>
          <w:rFonts w:cs="Arial"/>
          <w:szCs w:val="24"/>
          <w:lang w:eastAsia="ar-SA"/>
        </w:rPr>
        <w:t>(</w:t>
      </w:r>
      <w:r w:rsidR="00983A1E">
        <w:rPr>
          <w:rFonts w:cs="Arial"/>
          <w:szCs w:val="24"/>
          <w:lang w:eastAsia="ar-SA"/>
        </w:rPr>
        <w:t>£3.198m</w:t>
      </w:r>
      <w:r w:rsidR="00FC660C">
        <w:rPr>
          <w:rFonts w:cs="Arial"/>
          <w:szCs w:val="24"/>
          <w:lang w:eastAsia="ar-SA"/>
        </w:rPr>
        <w:t>)</w:t>
      </w:r>
      <w:r w:rsidRPr="0014770C">
        <w:rPr>
          <w:rFonts w:cs="Arial"/>
          <w:szCs w:val="24"/>
          <w:lang w:eastAsia="ar-SA"/>
        </w:rPr>
        <w:t xml:space="preserve"> under spend</w:t>
      </w:r>
      <w:r w:rsidR="00FC660C">
        <w:rPr>
          <w:rFonts w:cs="Arial"/>
          <w:szCs w:val="24"/>
          <w:lang w:eastAsia="ar-SA"/>
        </w:rPr>
        <w:t xml:space="preserve"> </w:t>
      </w:r>
      <w:r w:rsidR="00ED53D5">
        <w:rPr>
          <w:rFonts w:cs="Arial"/>
          <w:szCs w:val="24"/>
          <w:lang w:eastAsia="ar-SA"/>
        </w:rPr>
        <w:t>has</w:t>
      </w:r>
      <w:r w:rsidRPr="0014770C">
        <w:rPr>
          <w:rFonts w:cs="Arial"/>
          <w:szCs w:val="24"/>
          <w:lang w:eastAsia="ar-SA"/>
        </w:rPr>
        <w:t xml:space="preserve"> be</w:t>
      </w:r>
      <w:r w:rsidR="00ED53D5">
        <w:rPr>
          <w:rFonts w:cs="Arial"/>
          <w:szCs w:val="24"/>
          <w:lang w:eastAsia="ar-SA"/>
        </w:rPr>
        <w:t>en</w:t>
      </w:r>
      <w:r w:rsidRPr="0014770C">
        <w:rPr>
          <w:rFonts w:cs="Arial"/>
          <w:szCs w:val="24"/>
          <w:lang w:eastAsia="ar-SA"/>
        </w:rPr>
        <w:t xml:space="preserve"> added to this reserve</w:t>
      </w:r>
      <w:r w:rsidR="00983A1E">
        <w:rPr>
          <w:rFonts w:cs="Arial"/>
          <w:szCs w:val="24"/>
          <w:lang w:eastAsia="ar-SA"/>
        </w:rPr>
        <w:t>.</w:t>
      </w:r>
      <w:r w:rsidR="00ED53D5">
        <w:rPr>
          <w:rFonts w:cs="Arial"/>
          <w:szCs w:val="24"/>
          <w:lang w:eastAsia="ar-SA"/>
        </w:rPr>
        <w:t xml:space="preserve"> </w:t>
      </w:r>
      <w:r w:rsidR="00FC660C">
        <w:rPr>
          <w:rFonts w:cs="Arial"/>
          <w:szCs w:val="24"/>
          <w:lang w:eastAsia="ar-SA"/>
        </w:rPr>
        <w:t>The Rapid R</w:t>
      </w:r>
      <w:r w:rsidR="003B6062">
        <w:rPr>
          <w:rFonts w:cs="Arial"/>
          <w:szCs w:val="24"/>
          <w:lang w:eastAsia="ar-SA"/>
        </w:rPr>
        <w:t>espon</w:t>
      </w:r>
      <w:r w:rsidR="00FC660C">
        <w:rPr>
          <w:rFonts w:cs="Arial"/>
          <w:szCs w:val="24"/>
          <w:lang w:eastAsia="ar-SA"/>
        </w:rPr>
        <w:t>se R</w:t>
      </w:r>
      <w:r w:rsidR="003B6062">
        <w:rPr>
          <w:rFonts w:cs="Arial"/>
          <w:szCs w:val="24"/>
          <w:lang w:eastAsia="ar-SA"/>
        </w:rPr>
        <w:t>eserve</w:t>
      </w:r>
      <w:r w:rsidR="00BE5CE1">
        <w:rPr>
          <w:rFonts w:cs="Arial"/>
          <w:szCs w:val="24"/>
          <w:lang w:eastAsia="ar-SA"/>
        </w:rPr>
        <w:t xml:space="preserve"> </w:t>
      </w:r>
      <w:r w:rsidR="00FC660C">
        <w:rPr>
          <w:rFonts w:cs="Arial"/>
          <w:szCs w:val="24"/>
          <w:lang w:eastAsia="ar-SA"/>
        </w:rPr>
        <w:t>(</w:t>
      </w:r>
      <w:r w:rsidR="00ED53D5">
        <w:rPr>
          <w:rFonts w:cs="Arial"/>
          <w:szCs w:val="24"/>
          <w:lang w:eastAsia="ar-SA"/>
        </w:rPr>
        <w:t>£0.075m</w:t>
      </w:r>
      <w:r w:rsidR="00FC660C">
        <w:rPr>
          <w:rFonts w:cs="Arial"/>
          <w:szCs w:val="24"/>
          <w:lang w:eastAsia="ar-SA"/>
        </w:rPr>
        <w:t>) and Business Risk R</w:t>
      </w:r>
      <w:r w:rsidR="003B6062">
        <w:rPr>
          <w:rFonts w:cs="Arial"/>
          <w:szCs w:val="24"/>
          <w:lang w:eastAsia="ar-SA"/>
        </w:rPr>
        <w:t>eserve</w:t>
      </w:r>
      <w:r w:rsidR="00FC660C">
        <w:rPr>
          <w:rFonts w:cs="Arial"/>
          <w:szCs w:val="24"/>
          <w:lang w:eastAsia="ar-SA"/>
        </w:rPr>
        <w:t xml:space="preserve"> (</w:t>
      </w:r>
      <w:r w:rsidR="00BE5CE1">
        <w:rPr>
          <w:rFonts w:cs="Arial"/>
          <w:szCs w:val="24"/>
          <w:lang w:eastAsia="ar-SA"/>
        </w:rPr>
        <w:t>£2.109m</w:t>
      </w:r>
      <w:r w:rsidR="00FC660C">
        <w:rPr>
          <w:rFonts w:cs="Arial"/>
          <w:szCs w:val="24"/>
          <w:lang w:eastAsia="ar-SA"/>
        </w:rPr>
        <w:t>) have been consolidated into this reserve bringing the closing balance to £7.382m.</w:t>
      </w:r>
      <w:r w:rsidR="003B6062">
        <w:rPr>
          <w:rFonts w:cs="Arial"/>
          <w:szCs w:val="24"/>
          <w:lang w:eastAsia="ar-SA"/>
        </w:rPr>
        <w:t xml:space="preserve"> </w:t>
      </w:r>
    </w:p>
    <w:p w:rsidR="0014770C" w:rsidRPr="0014770C" w:rsidRDefault="0014770C" w:rsidP="00AA3B74">
      <w:pPr>
        <w:pStyle w:val="ListParagraph"/>
        <w:suppressAutoHyphens/>
        <w:spacing w:after="200" w:line="276" w:lineRule="auto"/>
        <w:ind w:left="360"/>
        <w:jc w:val="both"/>
        <w:rPr>
          <w:rFonts w:cs="Arial"/>
          <w:szCs w:val="24"/>
          <w:lang w:eastAsia="ar-SA"/>
        </w:rPr>
      </w:pPr>
    </w:p>
    <w:p w:rsidR="0014770C" w:rsidRDefault="0014770C" w:rsidP="00AA3B74">
      <w:pPr>
        <w:pStyle w:val="ListParagraph"/>
        <w:numPr>
          <w:ilvl w:val="0"/>
          <w:numId w:val="128"/>
        </w:numPr>
        <w:suppressAutoHyphens/>
        <w:spacing w:after="200" w:line="276" w:lineRule="auto"/>
        <w:ind w:left="567" w:hanging="567"/>
        <w:jc w:val="both"/>
        <w:rPr>
          <w:rFonts w:cs="Arial"/>
          <w:szCs w:val="24"/>
          <w:lang w:eastAsia="ar-SA"/>
        </w:rPr>
      </w:pPr>
      <w:r w:rsidRPr="0014770C">
        <w:rPr>
          <w:rFonts w:cs="Arial"/>
          <w:b/>
          <w:szCs w:val="24"/>
          <w:lang w:eastAsia="ar-SA"/>
        </w:rPr>
        <w:t>Harrow and Mayor CIL  Reserve</w:t>
      </w:r>
      <w:r w:rsidRPr="0014770C">
        <w:rPr>
          <w:rFonts w:cs="Arial"/>
          <w:szCs w:val="24"/>
          <w:lang w:eastAsia="ar-SA"/>
        </w:rPr>
        <w:t xml:space="preserve"> – The </w:t>
      </w:r>
      <w:r w:rsidRPr="0014770C">
        <w:rPr>
          <w:rFonts w:cs="Arial"/>
          <w:b/>
          <w:bCs/>
          <w:szCs w:val="24"/>
          <w:lang w:eastAsia="ar-SA"/>
        </w:rPr>
        <w:t>Community</w:t>
      </w:r>
      <w:r w:rsidRPr="0014770C">
        <w:rPr>
          <w:rFonts w:cs="Arial"/>
          <w:szCs w:val="24"/>
          <w:lang w:eastAsia="ar-SA"/>
        </w:rPr>
        <w:t xml:space="preserve"> </w:t>
      </w:r>
      <w:r w:rsidRPr="0014770C">
        <w:rPr>
          <w:rFonts w:cs="Arial"/>
          <w:b/>
          <w:bCs/>
          <w:szCs w:val="24"/>
          <w:lang w:eastAsia="ar-SA"/>
        </w:rPr>
        <w:t>Infrastructure</w:t>
      </w:r>
      <w:r w:rsidRPr="0014770C">
        <w:rPr>
          <w:rFonts w:cs="Arial"/>
          <w:szCs w:val="24"/>
          <w:lang w:eastAsia="ar-SA"/>
        </w:rPr>
        <w:t xml:space="preserve"> </w:t>
      </w:r>
      <w:r w:rsidRPr="0014770C">
        <w:rPr>
          <w:rFonts w:cs="Arial"/>
          <w:b/>
          <w:bCs/>
          <w:szCs w:val="24"/>
          <w:lang w:eastAsia="ar-SA"/>
        </w:rPr>
        <w:t>Levy</w:t>
      </w:r>
      <w:r w:rsidRPr="0014770C">
        <w:rPr>
          <w:rFonts w:cs="Arial"/>
          <w:szCs w:val="24"/>
          <w:lang w:eastAsia="ar-SA"/>
        </w:rPr>
        <w:t xml:space="preserve"> is a planning charge, introduced by the Planning Act 2008 as a tool for local authorities in England and Wales to help deliver infrastructure to support the development of their area. Harrow has £6.288m in the reserve as at 31</w:t>
      </w:r>
      <w:r w:rsidRPr="0014770C">
        <w:rPr>
          <w:rFonts w:cs="Arial"/>
          <w:szCs w:val="24"/>
          <w:vertAlign w:val="superscript"/>
          <w:lang w:eastAsia="ar-SA"/>
        </w:rPr>
        <w:t>st</w:t>
      </w:r>
      <w:r w:rsidRPr="0014770C">
        <w:rPr>
          <w:rFonts w:cs="Arial"/>
          <w:szCs w:val="24"/>
          <w:lang w:eastAsia="ar-SA"/>
        </w:rPr>
        <w:t xml:space="preserve"> March 2017, £4.667m has been added during the year and £4.800m drawn down, giving a closing balance of £6.155m.</w:t>
      </w:r>
    </w:p>
    <w:p w:rsidR="00BE5CE1" w:rsidRPr="005F331F" w:rsidRDefault="00BE5CE1" w:rsidP="00A37874">
      <w:pPr>
        <w:pStyle w:val="ListParagraph"/>
        <w:rPr>
          <w:rFonts w:cs="Arial"/>
          <w:szCs w:val="24"/>
          <w:lang w:eastAsia="ar-SA"/>
        </w:rPr>
      </w:pPr>
    </w:p>
    <w:p w:rsidR="00DD7468" w:rsidRDefault="00DD7468" w:rsidP="00AA3B74">
      <w:pPr>
        <w:pStyle w:val="ListParagraph"/>
        <w:numPr>
          <w:ilvl w:val="0"/>
          <w:numId w:val="128"/>
        </w:numPr>
        <w:suppressAutoHyphens/>
        <w:spacing w:after="200" w:line="276" w:lineRule="auto"/>
        <w:ind w:left="567" w:hanging="567"/>
        <w:jc w:val="both"/>
        <w:rPr>
          <w:rFonts w:cs="Arial"/>
          <w:szCs w:val="24"/>
          <w:lang w:eastAsia="ar-SA"/>
        </w:rPr>
      </w:pPr>
      <w:r w:rsidRPr="00DD7468">
        <w:rPr>
          <w:rFonts w:cs="Arial"/>
          <w:b/>
          <w:szCs w:val="24"/>
          <w:lang w:eastAsia="ar-SA"/>
        </w:rPr>
        <w:t>Revenue Carry forward requests</w:t>
      </w:r>
      <w:r w:rsidRPr="00DD7468">
        <w:rPr>
          <w:rFonts w:cs="Arial"/>
          <w:szCs w:val="24"/>
          <w:lang w:eastAsia="ar-SA"/>
        </w:rPr>
        <w:t xml:space="preserve"> - were received, mainly in relation to projects not completed and government grants not yet spent.  The carry forward requests are summarised below and listed in Appendix 1</w:t>
      </w:r>
      <w:r w:rsidR="00591F96">
        <w:rPr>
          <w:rFonts w:cs="Arial"/>
          <w:szCs w:val="24"/>
          <w:lang w:eastAsia="ar-SA"/>
        </w:rPr>
        <w:t>.</w:t>
      </w:r>
    </w:p>
    <w:p w:rsidR="00DB3CEF" w:rsidRPr="00DD7468" w:rsidRDefault="00DB3CEF" w:rsidP="00AA3B74">
      <w:pPr>
        <w:pStyle w:val="ListParagraph"/>
        <w:jc w:val="both"/>
        <w:rPr>
          <w:rFonts w:cs="Arial"/>
          <w:szCs w:val="24"/>
          <w:lang w:eastAsia="ar-SA"/>
        </w:rPr>
      </w:pPr>
    </w:p>
    <w:p w:rsidR="00A35B6E" w:rsidRPr="00AA3B74" w:rsidRDefault="004A4912">
      <w:pPr>
        <w:ind w:left="142" w:right="304"/>
        <w:jc w:val="both"/>
        <w:rPr>
          <w:rFonts w:cs="Arial"/>
          <w:b/>
          <w:u w:val="single"/>
        </w:rPr>
      </w:pPr>
      <w:r>
        <w:rPr>
          <w:rFonts w:cs="Arial"/>
          <w:b/>
        </w:rPr>
        <w:t xml:space="preserve">  </w:t>
      </w:r>
      <w:r w:rsidR="00A35B6E" w:rsidRPr="00AA3B74">
        <w:rPr>
          <w:rFonts w:cs="Arial"/>
          <w:b/>
          <w:u w:val="single"/>
        </w:rPr>
        <w:t>Table 3 Summary of Revenue Carry Forwards</w:t>
      </w:r>
    </w:p>
    <w:tbl>
      <w:tblPr>
        <w:tblW w:w="6275" w:type="dxa"/>
        <w:tblInd w:w="456" w:type="dxa"/>
        <w:tblLook w:val="04A0" w:firstRow="1" w:lastRow="0" w:firstColumn="1" w:lastColumn="0" w:noHBand="0" w:noVBand="1"/>
      </w:tblPr>
      <w:tblGrid>
        <w:gridCol w:w="2760"/>
        <w:gridCol w:w="1080"/>
        <w:gridCol w:w="1218"/>
        <w:gridCol w:w="1217"/>
      </w:tblGrid>
      <w:tr w:rsidR="00A35B6E" w:rsidRPr="005527E5" w:rsidTr="00DD7468">
        <w:trPr>
          <w:trHeight w:val="525"/>
        </w:trPr>
        <w:tc>
          <w:tcPr>
            <w:tcW w:w="2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5B6E" w:rsidRPr="005527E5" w:rsidRDefault="00A35B6E" w:rsidP="00AA3B74">
            <w:pPr>
              <w:jc w:val="both"/>
              <w:rPr>
                <w:rFonts w:cs="Arial"/>
                <w:color w:val="000000"/>
                <w:sz w:val="20"/>
                <w:lang w:eastAsia="en-GB"/>
              </w:rPr>
            </w:pPr>
            <w:r w:rsidRPr="005527E5">
              <w:rPr>
                <w:rFonts w:cs="Arial"/>
                <w:color w:val="000000"/>
                <w:sz w:val="20"/>
                <w:lang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A35B6E" w:rsidRPr="005527E5" w:rsidRDefault="00A35B6E" w:rsidP="00AA3B74">
            <w:pPr>
              <w:jc w:val="both"/>
              <w:rPr>
                <w:rFonts w:cs="Arial"/>
                <w:b/>
                <w:bCs/>
                <w:color w:val="000000"/>
                <w:sz w:val="20"/>
                <w:lang w:eastAsia="en-GB"/>
              </w:rPr>
            </w:pPr>
            <w:r w:rsidRPr="005527E5">
              <w:rPr>
                <w:rFonts w:cs="Arial"/>
                <w:b/>
                <w:bCs/>
                <w:color w:val="000000"/>
                <w:sz w:val="20"/>
                <w:lang w:eastAsia="en-GB"/>
              </w:rPr>
              <w:t>Council Funding</w:t>
            </w:r>
          </w:p>
        </w:tc>
        <w:tc>
          <w:tcPr>
            <w:tcW w:w="1218" w:type="dxa"/>
            <w:tcBorders>
              <w:top w:val="single" w:sz="8" w:space="0" w:color="auto"/>
              <w:left w:val="nil"/>
              <w:bottom w:val="single" w:sz="8" w:space="0" w:color="auto"/>
              <w:right w:val="single" w:sz="8" w:space="0" w:color="auto"/>
            </w:tcBorders>
            <w:shd w:val="clear" w:color="auto" w:fill="auto"/>
            <w:vAlign w:val="center"/>
            <w:hideMark/>
          </w:tcPr>
          <w:p w:rsidR="00A35B6E" w:rsidRPr="005527E5" w:rsidRDefault="00A35B6E" w:rsidP="00AA3B74">
            <w:pPr>
              <w:jc w:val="both"/>
              <w:rPr>
                <w:rFonts w:cs="Arial"/>
                <w:b/>
                <w:bCs/>
                <w:color w:val="000000"/>
                <w:sz w:val="20"/>
                <w:lang w:eastAsia="en-GB"/>
              </w:rPr>
            </w:pPr>
            <w:r w:rsidRPr="005527E5">
              <w:rPr>
                <w:rFonts w:cs="Arial"/>
                <w:b/>
                <w:bCs/>
                <w:color w:val="000000"/>
                <w:sz w:val="20"/>
                <w:lang w:eastAsia="en-GB"/>
              </w:rPr>
              <w:t>Grant Funding</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rsidR="00A35B6E" w:rsidRPr="005527E5" w:rsidRDefault="00A35B6E" w:rsidP="00AA3B74">
            <w:pPr>
              <w:jc w:val="both"/>
              <w:rPr>
                <w:rFonts w:cs="Arial"/>
                <w:b/>
                <w:bCs/>
                <w:color w:val="000000"/>
                <w:sz w:val="20"/>
                <w:lang w:eastAsia="en-GB"/>
              </w:rPr>
            </w:pPr>
            <w:r w:rsidRPr="005527E5">
              <w:rPr>
                <w:rFonts w:cs="Arial"/>
                <w:b/>
                <w:bCs/>
                <w:color w:val="000000"/>
                <w:sz w:val="20"/>
                <w:lang w:eastAsia="en-GB"/>
              </w:rPr>
              <w:t>Total</w:t>
            </w:r>
          </w:p>
        </w:tc>
      </w:tr>
      <w:tr w:rsidR="00A35B6E" w:rsidRPr="005527E5" w:rsidTr="00DD7468">
        <w:trPr>
          <w:trHeight w:val="300"/>
        </w:trPr>
        <w:tc>
          <w:tcPr>
            <w:tcW w:w="2760" w:type="dxa"/>
            <w:tcBorders>
              <w:top w:val="nil"/>
              <w:left w:val="single" w:sz="8" w:space="0" w:color="auto"/>
              <w:bottom w:val="single" w:sz="8" w:space="0" w:color="auto"/>
              <w:right w:val="single" w:sz="8" w:space="0" w:color="auto"/>
            </w:tcBorders>
            <w:shd w:val="clear" w:color="auto" w:fill="auto"/>
            <w:noWrap/>
            <w:vAlign w:val="center"/>
            <w:hideMark/>
          </w:tcPr>
          <w:p w:rsidR="00A35B6E" w:rsidRPr="005527E5" w:rsidRDefault="00A35B6E" w:rsidP="00AA3B74">
            <w:pPr>
              <w:jc w:val="both"/>
              <w:rPr>
                <w:rFonts w:cs="Arial"/>
                <w:color w:val="000000"/>
                <w:sz w:val="20"/>
                <w:lang w:eastAsia="en-GB"/>
              </w:rPr>
            </w:pPr>
            <w:r w:rsidRPr="005527E5">
              <w:rPr>
                <w:rFonts w:cs="Arial"/>
                <w:color w:val="000000"/>
                <w:sz w:val="20"/>
                <w:lang w:eastAsia="en-GB"/>
              </w:rPr>
              <w:t> </w:t>
            </w:r>
          </w:p>
        </w:tc>
        <w:tc>
          <w:tcPr>
            <w:tcW w:w="1080" w:type="dxa"/>
            <w:tcBorders>
              <w:top w:val="nil"/>
              <w:left w:val="nil"/>
              <w:bottom w:val="single" w:sz="8" w:space="0" w:color="auto"/>
              <w:right w:val="single" w:sz="8" w:space="0" w:color="auto"/>
            </w:tcBorders>
            <w:shd w:val="clear" w:color="auto" w:fill="auto"/>
            <w:noWrap/>
            <w:vAlign w:val="center"/>
            <w:hideMark/>
          </w:tcPr>
          <w:p w:rsidR="00A35B6E" w:rsidRPr="005527E5" w:rsidRDefault="007152D9" w:rsidP="00AA3B74">
            <w:pPr>
              <w:jc w:val="both"/>
              <w:rPr>
                <w:rFonts w:cs="Arial"/>
                <w:color w:val="000000"/>
                <w:sz w:val="20"/>
                <w:lang w:eastAsia="en-GB"/>
              </w:rPr>
            </w:pPr>
            <w:r>
              <w:rPr>
                <w:rFonts w:cs="Arial"/>
                <w:color w:val="000000"/>
                <w:sz w:val="20"/>
                <w:lang w:eastAsia="en-GB"/>
              </w:rPr>
              <w:t xml:space="preserve">   </w:t>
            </w:r>
            <w:r w:rsidR="00A35B6E" w:rsidRPr="005527E5">
              <w:rPr>
                <w:rFonts w:cs="Arial"/>
                <w:color w:val="000000"/>
                <w:sz w:val="20"/>
                <w:lang w:eastAsia="en-GB"/>
              </w:rPr>
              <w:t>£</w:t>
            </w:r>
            <w:r w:rsidR="00A35B6E">
              <w:rPr>
                <w:rFonts w:cs="Arial"/>
                <w:color w:val="000000"/>
                <w:sz w:val="20"/>
                <w:lang w:eastAsia="en-GB"/>
              </w:rPr>
              <w:t>’</w:t>
            </w:r>
            <w:r w:rsidR="00A35B6E" w:rsidRPr="005527E5">
              <w:rPr>
                <w:rFonts w:cs="Arial"/>
                <w:color w:val="000000"/>
                <w:sz w:val="20"/>
                <w:lang w:eastAsia="en-GB"/>
              </w:rPr>
              <w:t>000</w:t>
            </w:r>
          </w:p>
        </w:tc>
        <w:tc>
          <w:tcPr>
            <w:tcW w:w="1218" w:type="dxa"/>
            <w:tcBorders>
              <w:top w:val="nil"/>
              <w:left w:val="nil"/>
              <w:bottom w:val="single" w:sz="8" w:space="0" w:color="auto"/>
              <w:right w:val="single" w:sz="8" w:space="0" w:color="auto"/>
            </w:tcBorders>
            <w:shd w:val="clear" w:color="auto" w:fill="auto"/>
            <w:noWrap/>
            <w:vAlign w:val="center"/>
            <w:hideMark/>
          </w:tcPr>
          <w:p w:rsidR="00A35B6E" w:rsidRPr="005527E5" w:rsidRDefault="007152D9" w:rsidP="00AA3B74">
            <w:pPr>
              <w:jc w:val="both"/>
              <w:rPr>
                <w:rFonts w:cs="Arial"/>
                <w:color w:val="000000"/>
                <w:sz w:val="20"/>
                <w:lang w:eastAsia="en-GB"/>
              </w:rPr>
            </w:pPr>
            <w:r>
              <w:rPr>
                <w:rFonts w:cs="Arial"/>
                <w:color w:val="000000"/>
                <w:sz w:val="20"/>
                <w:lang w:eastAsia="en-GB"/>
              </w:rPr>
              <w:t xml:space="preserve">  </w:t>
            </w:r>
            <w:r w:rsidR="00A35B6E" w:rsidRPr="005527E5">
              <w:rPr>
                <w:rFonts w:cs="Arial"/>
                <w:color w:val="000000"/>
                <w:sz w:val="20"/>
                <w:lang w:eastAsia="en-GB"/>
              </w:rPr>
              <w:t>£</w:t>
            </w:r>
            <w:r w:rsidR="00A35B6E">
              <w:rPr>
                <w:rFonts w:cs="Arial"/>
                <w:color w:val="000000"/>
                <w:sz w:val="20"/>
                <w:lang w:eastAsia="en-GB"/>
              </w:rPr>
              <w:t>’</w:t>
            </w:r>
            <w:r w:rsidR="00A35B6E" w:rsidRPr="005527E5">
              <w:rPr>
                <w:rFonts w:cs="Arial"/>
                <w:color w:val="000000"/>
                <w:sz w:val="20"/>
                <w:lang w:eastAsia="en-GB"/>
              </w:rPr>
              <w:t>000</w:t>
            </w:r>
          </w:p>
        </w:tc>
        <w:tc>
          <w:tcPr>
            <w:tcW w:w="1217" w:type="dxa"/>
            <w:tcBorders>
              <w:top w:val="nil"/>
              <w:left w:val="nil"/>
              <w:bottom w:val="single" w:sz="8" w:space="0" w:color="auto"/>
              <w:right w:val="single" w:sz="8" w:space="0" w:color="auto"/>
            </w:tcBorders>
            <w:shd w:val="clear" w:color="auto" w:fill="auto"/>
            <w:noWrap/>
            <w:vAlign w:val="center"/>
            <w:hideMark/>
          </w:tcPr>
          <w:p w:rsidR="00A35B6E" w:rsidRPr="005527E5" w:rsidRDefault="007152D9" w:rsidP="00AA3B74">
            <w:pPr>
              <w:jc w:val="both"/>
              <w:rPr>
                <w:rFonts w:cs="Arial"/>
                <w:color w:val="000000"/>
                <w:sz w:val="20"/>
                <w:lang w:eastAsia="en-GB"/>
              </w:rPr>
            </w:pPr>
            <w:r>
              <w:rPr>
                <w:rFonts w:cs="Arial"/>
                <w:color w:val="000000"/>
                <w:sz w:val="20"/>
                <w:lang w:eastAsia="en-GB"/>
              </w:rPr>
              <w:t xml:space="preserve">    </w:t>
            </w:r>
            <w:r w:rsidR="00A35B6E" w:rsidRPr="005527E5">
              <w:rPr>
                <w:rFonts w:cs="Arial"/>
                <w:color w:val="000000"/>
                <w:sz w:val="20"/>
                <w:lang w:eastAsia="en-GB"/>
              </w:rPr>
              <w:t>£</w:t>
            </w:r>
            <w:r w:rsidR="00A35B6E">
              <w:rPr>
                <w:rFonts w:cs="Arial"/>
                <w:color w:val="000000"/>
                <w:sz w:val="20"/>
                <w:lang w:eastAsia="en-GB"/>
              </w:rPr>
              <w:t>’</w:t>
            </w:r>
            <w:r w:rsidR="00A35B6E" w:rsidRPr="005527E5">
              <w:rPr>
                <w:rFonts w:cs="Arial"/>
                <w:color w:val="000000"/>
                <w:sz w:val="20"/>
                <w:lang w:eastAsia="en-GB"/>
              </w:rPr>
              <w:t>000</w:t>
            </w:r>
          </w:p>
        </w:tc>
      </w:tr>
      <w:tr w:rsidR="00A35B6E" w:rsidRPr="005527E5" w:rsidTr="00DD7468">
        <w:trPr>
          <w:trHeight w:val="300"/>
        </w:trPr>
        <w:tc>
          <w:tcPr>
            <w:tcW w:w="2760" w:type="dxa"/>
            <w:tcBorders>
              <w:top w:val="nil"/>
              <w:left w:val="single" w:sz="8" w:space="0" w:color="auto"/>
              <w:bottom w:val="single" w:sz="8" w:space="0" w:color="auto"/>
              <w:right w:val="single" w:sz="8" w:space="0" w:color="auto"/>
            </w:tcBorders>
            <w:shd w:val="clear" w:color="000000" w:fill="FFFFFF"/>
            <w:vAlign w:val="center"/>
            <w:hideMark/>
          </w:tcPr>
          <w:p w:rsidR="00A35B6E" w:rsidRPr="005527E5" w:rsidRDefault="00A35B6E" w:rsidP="00AA3B74">
            <w:pPr>
              <w:jc w:val="both"/>
              <w:rPr>
                <w:rFonts w:cs="Arial"/>
                <w:color w:val="000000"/>
                <w:sz w:val="18"/>
                <w:szCs w:val="18"/>
                <w:lang w:eastAsia="en-GB"/>
              </w:rPr>
            </w:pPr>
            <w:r w:rsidRPr="005527E5">
              <w:rPr>
                <w:rFonts w:cs="Arial"/>
                <w:color w:val="000000"/>
                <w:sz w:val="18"/>
                <w:szCs w:val="18"/>
                <w:lang w:eastAsia="en-GB"/>
              </w:rPr>
              <w:t>Resources</w:t>
            </w:r>
          </w:p>
        </w:tc>
        <w:tc>
          <w:tcPr>
            <w:tcW w:w="1080" w:type="dxa"/>
            <w:tcBorders>
              <w:top w:val="nil"/>
              <w:left w:val="nil"/>
              <w:bottom w:val="single" w:sz="8" w:space="0" w:color="auto"/>
              <w:right w:val="single" w:sz="8" w:space="0" w:color="auto"/>
            </w:tcBorders>
            <w:shd w:val="clear" w:color="auto" w:fill="auto"/>
            <w:noWrap/>
            <w:vAlign w:val="center"/>
            <w:hideMark/>
          </w:tcPr>
          <w:p w:rsidR="00A35B6E" w:rsidRPr="005527E5" w:rsidRDefault="00A35B6E" w:rsidP="00AA3B74">
            <w:pPr>
              <w:jc w:val="both"/>
              <w:rPr>
                <w:rFonts w:eastAsia="Arial Unicode MS" w:cs="Arial"/>
                <w:color w:val="000000"/>
                <w:sz w:val="20"/>
                <w:szCs w:val="16"/>
                <w:lang w:eastAsia="en-GB"/>
              </w:rPr>
            </w:pPr>
            <w:r>
              <w:rPr>
                <w:rFonts w:cs="Arial"/>
                <w:color w:val="000000"/>
                <w:sz w:val="20"/>
                <w:lang w:eastAsia="en-GB"/>
              </w:rPr>
              <w:t xml:space="preserve">     255</w:t>
            </w:r>
          </w:p>
        </w:tc>
        <w:tc>
          <w:tcPr>
            <w:tcW w:w="1218" w:type="dxa"/>
            <w:tcBorders>
              <w:top w:val="nil"/>
              <w:left w:val="nil"/>
              <w:bottom w:val="single" w:sz="8" w:space="0" w:color="auto"/>
              <w:right w:val="single" w:sz="8" w:space="0" w:color="auto"/>
            </w:tcBorders>
            <w:shd w:val="clear" w:color="auto" w:fill="auto"/>
            <w:noWrap/>
            <w:vAlign w:val="center"/>
            <w:hideMark/>
          </w:tcPr>
          <w:p w:rsidR="00A35B6E" w:rsidRPr="005527E5" w:rsidRDefault="007152D9" w:rsidP="00AA3B74">
            <w:pPr>
              <w:jc w:val="both"/>
              <w:rPr>
                <w:rFonts w:cs="Arial"/>
                <w:color w:val="000000"/>
                <w:sz w:val="20"/>
                <w:lang w:eastAsia="en-GB"/>
              </w:rPr>
            </w:pPr>
            <w:r>
              <w:rPr>
                <w:rFonts w:cs="Arial"/>
                <w:color w:val="000000"/>
                <w:sz w:val="20"/>
                <w:lang w:eastAsia="en-GB"/>
              </w:rPr>
              <w:t xml:space="preserve">     </w:t>
            </w:r>
            <w:r w:rsidR="00A35B6E">
              <w:rPr>
                <w:rFonts w:cs="Arial"/>
                <w:color w:val="000000"/>
                <w:sz w:val="20"/>
                <w:lang w:eastAsia="en-GB"/>
              </w:rPr>
              <w:t>60</w:t>
            </w:r>
          </w:p>
        </w:tc>
        <w:tc>
          <w:tcPr>
            <w:tcW w:w="1217" w:type="dxa"/>
            <w:tcBorders>
              <w:top w:val="nil"/>
              <w:left w:val="nil"/>
              <w:bottom w:val="single" w:sz="8" w:space="0" w:color="auto"/>
              <w:right w:val="single" w:sz="8" w:space="0" w:color="auto"/>
            </w:tcBorders>
            <w:shd w:val="clear" w:color="auto" w:fill="auto"/>
            <w:noWrap/>
            <w:vAlign w:val="center"/>
            <w:hideMark/>
          </w:tcPr>
          <w:p w:rsidR="00A35B6E" w:rsidRPr="005527E5" w:rsidRDefault="007152D9" w:rsidP="00AA3B74">
            <w:pPr>
              <w:jc w:val="both"/>
              <w:rPr>
                <w:rFonts w:cs="Arial"/>
                <w:color w:val="000000"/>
                <w:sz w:val="20"/>
                <w:lang w:eastAsia="en-GB"/>
              </w:rPr>
            </w:pPr>
            <w:r>
              <w:rPr>
                <w:rFonts w:cs="Arial"/>
                <w:color w:val="000000"/>
                <w:sz w:val="20"/>
                <w:lang w:eastAsia="en-GB"/>
              </w:rPr>
              <w:t xml:space="preserve">      </w:t>
            </w:r>
            <w:r w:rsidR="00A35B6E">
              <w:rPr>
                <w:rFonts w:cs="Arial"/>
                <w:color w:val="000000"/>
                <w:sz w:val="20"/>
                <w:lang w:eastAsia="en-GB"/>
              </w:rPr>
              <w:t>315</w:t>
            </w:r>
          </w:p>
        </w:tc>
      </w:tr>
      <w:tr w:rsidR="00A35B6E" w:rsidRPr="005527E5" w:rsidTr="00DD7468">
        <w:trPr>
          <w:trHeight w:val="300"/>
        </w:trPr>
        <w:tc>
          <w:tcPr>
            <w:tcW w:w="2760" w:type="dxa"/>
            <w:tcBorders>
              <w:top w:val="nil"/>
              <w:left w:val="single" w:sz="8" w:space="0" w:color="auto"/>
              <w:bottom w:val="single" w:sz="8" w:space="0" w:color="auto"/>
              <w:right w:val="single" w:sz="8" w:space="0" w:color="auto"/>
            </w:tcBorders>
            <w:shd w:val="clear" w:color="000000" w:fill="FFFFFF"/>
            <w:vAlign w:val="center"/>
            <w:hideMark/>
          </w:tcPr>
          <w:p w:rsidR="00A35B6E" w:rsidRPr="005527E5" w:rsidRDefault="00A35B6E" w:rsidP="00AA3B74">
            <w:pPr>
              <w:jc w:val="both"/>
              <w:rPr>
                <w:rFonts w:cs="Arial"/>
                <w:color w:val="000000"/>
                <w:sz w:val="18"/>
                <w:szCs w:val="18"/>
                <w:lang w:eastAsia="en-GB"/>
              </w:rPr>
            </w:pPr>
            <w:r>
              <w:rPr>
                <w:rFonts w:cs="Arial"/>
                <w:color w:val="000000"/>
                <w:sz w:val="18"/>
                <w:szCs w:val="18"/>
                <w:lang w:eastAsia="en-GB"/>
              </w:rPr>
              <w:t>People Services</w:t>
            </w:r>
          </w:p>
        </w:tc>
        <w:tc>
          <w:tcPr>
            <w:tcW w:w="1080" w:type="dxa"/>
            <w:tcBorders>
              <w:top w:val="nil"/>
              <w:left w:val="nil"/>
              <w:bottom w:val="single" w:sz="8" w:space="0" w:color="auto"/>
              <w:right w:val="single" w:sz="8" w:space="0" w:color="auto"/>
            </w:tcBorders>
            <w:shd w:val="clear" w:color="auto" w:fill="auto"/>
            <w:noWrap/>
            <w:vAlign w:val="center"/>
            <w:hideMark/>
          </w:tcPr>
          <w:p w:rsidR="00A35B6E" w:rsidRPr="005527E5" w:rsidRDefault="007152D9" w:rsidP="00AA3B74">
            <w:pPr>
              <w:jc w:val="both"/>
              <w:rPr>
                <w:rFonts w:cs="Arial"/>
                <w:color w:val="000000"/>
                <w:sz w:val="20"/>
                <w:lang w:eastAsia="en-GB"/>
              </w:rPr>
            </w:pPr>
            <w:r>
              <w:rPr>
                <w:rFonts w:cs="Arial"/>
                <w:color w:val="000000"/>
                <w:sz w:val="20"/>
                <w:lang w:eastAsia="en-GB"/>
              </w:rPr>
              <w:t xml:space="preserve">      -</w:t>
            </w:r>
          </w:p>
        </w:tc>
        <w:tc>
          <w:tcPr>
            <w:tcW w:w="1218" w:type="dxa"/>
            <w:tcBorders>
              <w:top w:val="nil"/>
              <w:left w:val="nil"/>
              <w:bottom w:val="single" w:sz="8" w:space="0" w:color="auto"/>
              <w:right w:val="single" w:sz="8" w:space="0" w:color="auto"/>
            </w:tcBorders>
            <w:shd w:val="clear" w:color="auto" w:fill="auto"/>
            <w:noWrap/>
            <w:vAlign w:val="center"/>
            <w:hideMark/>
          </w:tcPr>
          <w:p w:rsidR="00A35B6E" w:rsidRPr="005527E5" w:rsidRDefault="007152D9" w:rsidP="00AA3B74">
            <w:pPr>
              <w:jc w:val="both"/>
              <w:rPr>
                <w:rFonts w:cs="Arial"/>
                <w:color w:val="000000"/>
                <w:sz w:val="20"/>
                <w:lang w:eastAsia="en-GB"/>
              </w:rPr>
            </w:pPr>
            <w:r>
              <w:rPr>
                <w:rFonts w:cs="Arial"/>
                <w:color w:val="000000"/>
                <w:sz w:val="20"/>
                <w:lang w:eastAsia="en-GB"/>
              </w:rPr>
              <w:t xml:space="preserve">     </w:t>
            </w:r>
            <w:r w:rsidR="00A35B6E">
              <w:rPr>
                <w:rFonts w:cs="Arial"/>
                <w:color w:val="000000"/>
                <w:sz w:val="20"/>
                <w:lang w:eastAsia="en-GB"/>
              </w:rPr>
              <w:t>46</w:t>
            </w:r>
          </w:p>
        </w:tc>
        <w:tc>
          <w:tcPr>
            <w:tcW w:w="1217" w:type="dxa"/>
            <w:tcBorders>
              <w:top w:val="nil"/>
              <w:left w:val="nil"/>
              <w:bottom w:val="single" w:sz="8" w:space="0" w:color="auto"/>
              <w:right w:val="single" w:sz="8" w:space="0" w:color="auto"/>
            </w:tcBorders>
            <w:shd w:val="clear" w:color="auto" w:fill="auto"/>
            <w:noWrap/>
            <w:vAlign w:val="center"/>
            <w:hideMark/>
          </w:tcPr>
          <w:p w:rsidR="00A35B6E" w:rsidRPr="005527E5" w:rsidRDefault="007152D9" w:rsidP="00AA3B74">
            <w:pPr>
              <w:jc w:val="both"/>
              <w:rPr>
                <w:rFonts w:cs="Arial"/>
                <w:color w:val="000000"/>
                <w:sz w:val="20"/>
                <w:lang w:eastAsia="en-GB"/>
              </w:rPr>
            </w:pPr>
            <w:r>
              <w:rPr>
                <w:rFonts w:cs="Arial"/>
                <w:color w:val="000000"/>
                <w:sz w:val="20"/>
                <w:lang w:eastAsia="en-GB"/>
              </w:rPr>
              <w:t xml:space="preserve">       </w:t>
            </w:r>
            <w:r w:rsidR="00A35B6E">
              <w:rPr>
                <w:rFonts w:cs="Arial"/>
                <w:color w:val="000000"/>
                <w:sz w:val="20"/>
                <w:lang w:eastAsia="en-GB"/>
              </w:rPr>
              <w:t>46</w:t>
            </w:r>
          </w:p>
        </w:tc>
      </w:tr>
      <w:tr w:rsidR="00A35B6E" w:rsidRPr="005527E5" w:rsidTr="00DD7468">
        <w:trPr>
          <w:trHeight w:val="300"/>
        </w:trPr>
        <w:tc>
          <w:tcPr>
            <w:tcW w:w="2760" w:type="dxa"/>
            <w:tcBorders>
              <w:top w:val="nil"/>
              <w:left w:val="single" w:sz="8" w:space="0" w:color="auto"/>
              <w:bottom w:val="single" w:sz="8" w:space="0" w:color="auto"/>
              <w:right w:val="single" w:sz="8" w:space="0" w:color="auto"/>
            </w:tcBorders>
            <w:shd w:val="clear" w:color="000000" w:fill="FFFFFF"/>
            <w:vAlign w:val="center"/>
            <w:hideMark/>
          </w:tcPr>
          <w:p w:rsidR="00A35B6E" w:rsidRPr="005527E5" w:rsidRDefault="00A35B6E" w:rsidP="00AA3B74">
            <w:pPr>
              <w:jc w:val="both"/>
              <w:rPr>
                <w:rFonts w:cs="Arial"/>
                <w:color w:val="000000"/>
                <w:sz w:val="18"/>
                <w:szCs w:val="18"/>
                <w:lang w:eastAsia="en-GB"/>
              </w:rPr>
            </w:pPr>
            <w:r>
              <w:rPr>
                <w:rFonts w:cs="Arial"/>
                <w:color w:val="000000"/>
                <w:sz w:val="18"/>
                <w:szCs w:val="18"/>
                <w:lang w:eastAsia="en-GB"/>
              </w:rPr>
              <w:t>Regeneration</w:t>
            </w:r>
          </w:p>
        </w:tc>
        <w:tc>
          <w:tcPr>
            <w:tcW w:w="1080" w:type="dxa"/>
            <w:tcBorders>
              <w:top w:val="nil"/>
              <w:left w:val="nil"/>
              <w:bottom w:val="single" w:sz="8" w:space="0" w:color="auto"/>
              <w:right w:val="single" w:sz="8" w:space="0" w:color="auto"/>
            </w:tcBorders>
            <w:shd w:val="clear" w:color="auto" w:fill="auto"/>
            <w:noWrap/>
            <w:vAlign w:val="center"/>
            <w:hideMark/>
          </w:tcPr>
          <w:p w:rsidR="00A35B6E" w:rsidRPr="005527E5" w:rsidRDefault="007152D9" w:rsidP="00AA3B74">
            <w:pPr>
              <w:jc w:val="both"/>
              <w:rPr>
                <w:rFonts w:cs="Arial"/>
                <w:color w:val="000000"/>
                <w:sz w:val="20"/>
                <w:lang w:eastAsia="en-GB"/>
              </w:rPr>
            </w:pPr>
            <w:r>
              <w:rPr>
                <w:rFonts w:cs="Arial"/>
                <w:color w:val="000000"/>
                <w:sz w:val="20"/>
                <w:lang w:eastAsia="en-GB"/>
              </w:rPr>
              <w:t xml:space="preserve">      -</w:t>
            </w:r>
          </w:p>
        </w:tc>
        <w:tc>
          <w:tcPr>
            <w:tcW w:w="1218" w:type="dxa"/>
            <w:tcBorders>
              <w:top w:val="nil"/>
              <w:left w:val="nil"/>
              <w:bottom w:val="single" w:sz="8" w:space="0" w:color="auto"/>
              <w:right w:val="single" w:sz="8" w:space="0" w:color="auto"/>
            </w:tcBorders>
            <w:shd w:val="clear" w:color="auto" w:fill="auto"/>
            <w:noWrap/>
            <w:vAlign w:val="center"/>
            <w:hideMark/>
          </w:tcPr>
          <w:p w:rsidR="00A35B6E" w:rsidRPr="005527E5" w:rsidRDefault="007152D9" w:rsidP="00AA3B74">
            <w:pPr>
              <w:jc w:val="both"/>
              <w:rPr>
                <w:rFonts w:cs="Arial"/>
                <w:color w:val="000000"/>
                <w:sz w:val="20"/>
                <w:lang w:eastAsia="en-GB"/>
              </w:rPr>
            </w:pPr>
            <w:r>
              <w:rPr>
                <w:rFonts w:cs="Arial"/>
                <w:color w:val="000000"/>
                <w:sz w:val="20"/>
                <w:lang w:eastAsia="en-GB"/>
              </w:rPr>
              <w:t xml:space="preserve">   </w:t>
            </w:r>
            <w:r w:rsidR="00A35B6E">
              <w:rPr>
                <w:rFonts w:cs="Arial"/>
                <w:color w:val="000000"/>
                <w:sz w:val="20"/>
                <w:lang w:eastAsia="en-GB"/>
              </w:rPr>
              <w:t>108</w:t>
            </w:r>
          </w:p>
        </w:tc>
        <w:tc>
          <w:tcPr>
            <w:tcW w:w="1217" w:type="dxa"/>
            <w:tcBorders>
              <w:top w:val="nil"/>
              <w:left w:val="nil"/>
              <w:bottom w:val="single" w:sz="8" w:space="0" w:color="auto"/>
              <w:right w:val="single" w:sz="8" w:space="0" w:color="auto"/>
            </w:tcBorders>
            <w:shd w:val="clear" w:color="auto" w:fill="auto"/>
            <w:noWrap/>
            <w:vAlign w:val="center"/>
            <w:hideMark/>
          </w:tcPr>
          <w:p w:rsidR="00A35B6E" w:rsidRPr="005527E5" w:rsidRDefault="007152D9" w:rsidP="00AA3B74">
            <w:pPr>
              <w:jc w:val="both"/>
              <w:rPr>
                <w:rFonts w:cs="Arial"/>
                <w:color w:val="000000"/>
                <w:sz w:val="20"/>
                <w:lang w:eastAsia="en-GB"/>
              </w:rPr>
            </w:pPr>
            <w:r>
              <w:rPr>
                <w:rFonts w:cs="Arial"/>
                <w:color w:val="000000"/>
                <w:sz w:val="20"/>
                <w:lang w:eastAsia="en-GB"/>
              </w:rPr>
              <w:t xml:space="preserve">      </w:t>
            </w:r>
            <w:r w:rsidR="00A35B6E">
              <w:rPr>
                <w:rFonts w:cs="Arial"/>
                <w:color w:val="000000"/>
                <w:sz w:val="20"/>
                <w:lang w:eastAsia="en-GB"/>
              </w:rPr>
              <w:t>108</w:t>
            </w:r>
          </w:p>
        </w:tc>
      </w:tr>
      <w:tr w:rsidR="00A35B6E" w:rsidRPr="005527E5" w:rsidTr="00AA3B74">
        <w:trPr>
          <w:trHeight w:val="300"/>
        </w:trPr>
        <w:tc>
          <w:tcPr>
            <w:tcW w:w="2760" w:type="dxa"/>
            <w:tcBorders>
              <w:top w:val="nil"/>
              <w:left w:val="single" w:sz="8" w:space="0" w:color="auto"/>
              <w:bottom w:val="nil"/>
              <w:right w:val="single" w:sz="8" w:space="0" w:color="auto"/>
            </w:tcBorders>
            <w:shd w:val="clear" w:color="000000" w:fill="FFFFFF"/>
            <w:vAlign w:val="center"/>
            <w:hideMark/>
          </w:tcPr>
          <w:p w:rsidR="00A35B6E" w:rsidRPr="005527E5" w:rsidRDefault="00A35B6E">
            <w:pPr>
              <w:jc w:val="both"/>
              <w:rPr>
                <w:rFonts w:cs="Arial"/>
                <w:color w:val="000000"/>
                <w:sz w:val="18"/>
                <w:szCs w:val="18"/>
                <w:lang w:eastAsia="en-GB"/>
              </w:rPr>
            </w:pPr>
            <w:r w:rsidRPr="005527E5">
              <w:rPr>
                <w:rFonts w:cs="Arial"/>
                <w:b/>
                <w:bCs/>
                <w:color w:val="000000"/>
                <w:sz w:val="18"/>
                <w:szCs w:val="18"/>
                <w:lang w:eastAsia="en-GB"/>
              </w:rPr>
              <w:t>Carry F</w:t>
            </w:r>
            <w:r w:rsidR="003812C7">
              <w:rPr>
                <w:rFonts w:cs="Arial"/>
                <w:b/>
                <w:bCs/>
                <w:color w:val="000000"/>
                <w:sz w:val="18"/>
                <w:szCs w:val="18"/>
                <w:lang w:eastAsia="en-GB"/>
              </w:rPr>
              <w:t>orward</w:t>
            </w:r>
            <w:r w:rsidRPr="005527E5">
              <w:rPr>
                <w:rFonts w:cs="Arial"/>
                <w:b/>
                <w:bCs/>
                <w:color w:val="000000"/>
                <w:sz w:val="18"/>
                <w:szCs w:val="18"/>
                <w:lang w:eastAsia="en-GB"/>
              </w:rPr>
              <w:t xml:space="preserve"> Total</w:t>
            </w:r>
          </w:p>
        </w:tc>
        <w:tc>
          <w:tcPr>
            <w:tcW w:w="1080" w:type="dxa"/>
            <w:tcBorders>
              <w:top w:val="nil"/>
              <w:left w:val="nil"/>
              <w:bottom w:val="nil"/>
              <w:right w:val="single" w:sz="8" w:space="0" w:color="auto"/>
            </w:tcBorders>
            <w:shd w:val="clear" w:color="auto" w:fill="auto"/>
            <w:noWrap/>
            <w:vAlign w:val="center"/>
            <w:hideMark/>
          </w:tcPr>
          <w:p w:rsidR="00A35B6E" w:rsidRPr="005527E5" w:rsidRDefault="007152D9" w:rsidP="00AA3B74">
            <w:pPr>
              <w:jc w:val="both"/>
              <w:rPr>
                <w:rFonts w:cs="Arial"/>
                <w:color w:val="000000"/>
                <w:sz w:val="20"/>
                <w:lang w:eastAsia="en-GB"/>
              </w:rPr>
            </w:pPr>
            <w:r>
              <w:rPr>
                <w:rFonts w:cs="Arial"/>
                <w:b/>
                <w:bCs/>
                <w:color w:val="000000"/>
                <w:sz w:val="20"/>
                <w:lang w:eastAsia="en-GB"/>
              </w:rPr>
              <w:t xml:space="preserve">    </w:t>
            </w:r>
            <w:r w:rsidR="00A35B6E">
              <w:rPr>
                <w:rFonts w:cs="Arial"/>
                <w:b/>
                <w:bCs/>
                <w:color w:val="000000"/>
                <w:sz w:val="20"/>
                <w:lang w:eastAsia="en-GB"/>
              </w:rPr>
              <w:t>255</w:t>
            </w:r>
          </w:p>
        </w:tc>
        <w:tc>
          <w:tcPr>
            <w:tcW w:w="1218" w:type="dxa"/>
            <w:tcBorders>
              <w:top w:val="nil"/>
              <w:left w:val="nil"/>
              <w:bottom w:val="nil"/>
              <w:right w:val="single" w:sz="8" w:space="0" w:color="auto"/>
            </w:tcBorders>
            <w:shd w:val="clear" w:color="auto" w:fill="auto"/>
            <w:noWrap/>
            <w:vAlign w:val="center"/>
            <w:hideMark/>
          </w:tcPr>
          <w:p w:rsidR="00A35B6E" w:rsidRPr="005527E5" w:rsidRDefault="007152D9" w:rsidP="00AA3B74">
            <w:pPr>
              <w:jc w:val="both"/>
              <w:rPr>
                <w:rFonts w:cs="Arial"/>
                <w:color w:val="000000"/>
                <w:sz w:val="20"/>
                <w:lang w:eastAsia="en-GB"/>
              </w:rPr>
            </w:pPr>
            <w:r>
              <w:rPr>
                <w:rFonts w:cs="Arial"/>
                <w:b/>
                <w:bCs/>
                <w:color w:val="000000"/>
                <w:sz w:val="20"/>
                <w:lang w:eastAsia="en-GB"/>
              </w:rPr>
              <w:t xml:space="preserve">   </w:t>
            </w:r>
            <w:r w:rsidR="00A35B6E">
              <w:rPr>
                <w:rFonts w:cs="Arial"/>
                <w:b/>
                <w:bCs/>
                <w:color w:val="000000"/>
                <w:sz w:val="20"/>
                <w:lang w:eastAsia="en-GB"/>
              </w:rPr>
              <w:t>214</w:t>
            </w:r>
          </w:p>
        </w:tc>
        <w:tc>
          <w:tcPr>
            <w:tcW w:w="1217" w:type="dxa"/>
            <w:tcBorders>
              <w:top w:val="nil"/>
              <w:left w:val="nil"/>
              <w:bottom w:val="nil"/>
              <w:right w:val="single" w:sz="8" w:space="0" w:color="auto"/>
            </w:tcBorders>
            <w:shd w:val="clear" w:color="auto" w:fill="auto"/>
            <w:noWrap/>
            <w:vAlign w:val="center"/>
            <w:hideMark/>
          </w:tcPr>
          <w:p w:rsidR="00A35B6E" w:rsidRPr="005527E5" w:rsidRDefault="007152D9" w:rsidP="00AA3B74">
            <w:pPr>
              <w:jc w:val="both"/>
              <w:rPr>
                <w:rFonts w:cs="Arial"/>
                <w:color w:val="000000"/>
                <w:sz w:val="20"/>
                <w:lang w:eastAsia="en-GB"/>
              </w:rPr>
            </w:pPr>
            <w:r>
              <w:rPr>
                <w:rFonts w:cs="Arial"/>
                <w:b/>
                <w:bCs/>
                <w:color w:val="000000"/>
                <w:sz w:val="20"/>
                <w:lang w:eastAsia="en-GB"/>
              </w:rPr>
              <w:t xml:space="preserve">      </w:t>
            </w:r>
            <w:r w:rsidR="00A35B6E">
              <w:rPr>
                <w:rFonts w:cs="Arial"/>
                <w:b/>
                <w:bCs/>
                <w:color w:val="000000"/>
                <w:sz w:val="20"/>
                <w:lang w:eastAsia="en-GB"/>
              </w:rPr>
              <w:t>469</w:t>
            </w:r>
          </w:p>
        </w:tc>
      </w:tr>
      <w:tr w:rsidR="00A35B6E" w:rsidRPr="005527E5" w:rsidTr="00A37874">
        <w:trPr>
          <w:trHeight w:val="56"/>
        </w:trPr>
        <w:tc>
          <w:tcPr>
            <w:tcW w:w="2760" w:type="dxa"/>
            <w:tcBorders>
              <w:top w:val="nil"/>
              <w:left w:val="single" w:sz="8" w:space="0" w:color="auto"/>
              <w:bottom w:val="single" w:sz="8" w:space="0" w:color="auto"/>
              <w:right w:val="single" w:sz="8" w:space="0" w:color="auto"/>
            </w:tcBorders>
            <w:shd w:val="clear" w:color="000000" w:fill="FFFFFF"/>
            <w:vAlign w:val="center"/>
          </w:tcPr>
          <w:p w:rsidR="00A35B6E" w:rsidRPr="005527E5" w:rsidRDefault="00A35B6E" w:rsidP="00AA3B74">
            <w:pPr>
              <w:jc w:val="both"/>
              <w:rPr>
                <w:rFonts w:cs="Arial"/>
                <w:b/>
                <w:bCs/>
                <w:color w:val="000000"/>
                <w:sz w:val="18"/>
                <w:szCs w:val="18"/>
                <w:lang w:eastAsia="en-GB"/>
              </w:rPr>
            </w:pPr>
          </w:p>
        </w:tc>
        <w:tc>
          <w:tcPr>
            <w:tcW w:w="1080" w:type="dxa"/>
            <w:tcBorders>
              <w:top w:val="nil"/>
              <w:left w:val="nil"/>
              <w:bottom w:val="single" w:sz="8" w:space="0" w:color="auto"/>
              <w:right w:val="single" w:sz="8" w:space="0" w:color="auto"/>
            </w:tcBorders>
            <w:shd w:val="clear" w:color="auto" w:fill="auto"/>
            <w:noWrap/>
            <w:vAlign w:val="center"/>
          </w:tcPr>
          <w:p w:rsidR="00A35B6E" w:rsidRDefault="00A35B6E" w:rsidP="00AA3B74">
            <w:pPr>
              <w:jc w:val="both"/>
              <w:rPr>
                <w:rFonts w:cs="Arial"/>
                <w:b/>
                <w:bCs/>
                <w:color w:val="000000"/>
                <w:sz w:val="20"/>
                <w:lang w:eastAsia="en-GB"/>
              </w:rPr>
            </w:pPr>
          </w:p>
        </w:tc>
        <w:tc>
          <w:tcPr>
            <w:tcW w:w="1218" w:type="dxa"/>
            <w:tcBorders>
              <w:top w:val="nil"/>
              <w:left w:val="nil"/>
              <w:bottom w:val="single" w:sz="8" w:space="0" w:color="auto"/>
              <w:right w:val="single" w:sz="8" w:space="0" w:color="auto"/>
            </w:tcBorders>
            <w:shd w:val="clear" w:color="auto" w:fill="auto"/>
            <w:noWrap/>
            <w:vAlign w:val="center"/>
          </w:tcPr>
          <w:p w:rsidR="00A35B6E" w:rsidRDefault="00A35B6E" w:rsidP="00AA3B74">
            <w:pPr>
              <w:jc w:val="both"/>
              <w:rPr>
                <w:rFonts w:cs="Arial"/>
                <w:b/>
                <w:bCs/>
                <w:color w:val="000000"/>
                <w:sz w:val="20"/>
                <w:lang w:eastAsia="en-GB"/>
              </w:rPr>
            </w:pPr>
          </w:p>
        </w:tc>
        <w:tc>
          <w:tcPr>
            <w:tcW w:w="1217" w:type="dxa"/>
            <w:tcBorders>
              <w:top w:val="nil"/>
              <w:left w:val="nil"/>
              <w:bottom w:val="single" w:sz="8" w:space="0" w:color="auto"/>
              <w:right w:val="single" w:sz="8" w:space="0" w:color="auto"/>
            </w:tcBorders>
            <w:shd w:val="clear" w:color="auto" w:fill="auto"/>
            <w:noWrap/>
            <w:vAlign w:val="center"/>
          </w:tcPr>
          <w:p w:rsidR="00A35B6E" w:rsidRDefault="00A35B6E" w:rsidP="00AA3B74">
            <w:pPr>
              <w:jc w:val="both"/>
              <w:rPr>
                <w:rFonts w:cs="Arial"/>
                <w:b/>
                <w:bCs/>
                <w:color w:val="000000"/>
                <w:sz w:val="20"/>
                <w:lang w:eastAsia="en-GB"/>
              </w:rPr>
            </w:pPr>
          </w:p>
        </w:tc>
      </w:tr>
    </w:tbl>
    <w:p w:rsidR="0074679A" w:rsidRDefault="0074679A" w:rsidP="00AA3B74">
      <w:pPr>
        <w:pStyle w:val="ListParagraph"/>
        <w:suppressAutoHyphens/>
        <w:spacing w:after="200" w:line="276" w:lineRule="auto"/>
        <w:ind w:left="360"/>
        <w:jc w:val="both"/>
        <w:rPr>
          <w:rFonts w:cs="Arial"/>
          <w:szCs w:val="24"/>
          <w:lang w:eastAsia="ar-SA"/>
        </w:rPr>
      </w:pPr>
    </w:p>
    <w:p w:rsidR="00A35B6E" w:rsidRDefault="00A35B6E" w:rsidP="00AA3B74">
      <w:pPr>
        <w:pStyle w:val="ListParagraph"/>
        <w:numPr>
          <w:ilvl w:val="0"/>
          <w:numId w:val="128"/>
        </w:numPr>
        <w:tabs>
          <w:tab w:val="left" w:pos="567"/>
        </w:tabs>
        <w:suppressAutoHyphens/>
        <w:spacing w:after="200" w:line="276" w:lineRule="auto"/>
        <w:ind w:left="567" w:hanging="567"/>
        <w:jc w:val="both"/>
        <w:rPr>
          <w:rFonts w:cs="Arial"/>
          <w:szCs w:val="24"/>
          <w:lang w:eastAsia="ar-SA"/>
        </w:rPr>
      </w:pPr>
      <w:r w:rsidRPr="00A35B6E">
        <w:rPr>
          <w:rFonts w:cs="Arial"/>
          <w:szCs w:val="24"/>
          <w:lang w:eastAsia="ar-SA"/>
        </w:rPr>
        <w:t>Carry Forward requests have been agreed in line with the criteria set out in the Financial Regulations</w:t>
      </w:r>
      <w:r w:rsidR="00DB3CEF">
        <w:rPr>
          <w:rFonts w:cs="Arial"/>
          <w:szCs w:val="24"/>
          <w:lang w:eastAsia="ar-SA"/>
        </w:rPr>
        <w:t>.</w:t>
      </w:r>
    </w:p>
    <w:p w:rsidR="00BE5CE1" w:rsidRDefault="00BE5CE1" w:rsidP="00A37874">
      <w:pPr>
        <w:pStyle w:val="ListParagraph"/>
        <w:tabs>
          <w:tab w:val="left" w:pos="567"/>
        </w:tabs>
        <w:suppressAutoHyphens/>
        <w:spacing w:after="200" w:line="276" w:lineRule="auto"/>
        <w:ind w:left="567"/>
        <w:jc w:val="both"/>
        <w:rPr>
          <w:rFonts w:cs="Arial"/>
          <w:szCs w:val="24"/>
          <w:lang w:eastAsia="ar-SA"/>
        </w:rPr>
      </w:pPr>
    </w:p>
    <w:p w:rsidR="000D51A7" w:rsidRDefault="000D51A7">
      <w:pPr>
        <w:jc w:val="both"/>
        <w:rPr>
          <w:rFonts w:cs="Arial"/>
          <w:b/>
        </w:rPr>
      </w:pPr>
    </w:p>
    <w:p w:rsidR="00A35B6E" w:rsidRDefault="00A35B6E">
      <w:pPr>
        <w:jc w:val="both"/>
        <w:rPr>
          <w:rFonts w:cs="Arial"/>
          <w:b/>
        </w:rPr>
      </w:pPr>
      <w:r w:rsidRPr="00FA23DE">
        <w:rPr>
          <w:rFonts w:cs="Arial"/>
          <w:b/>
        </w:rPr>
        <w:t>G</w:t>
      </w:r>
      <w:r>
        <w:rPr>
          <w:rFonts w:cs="Arial"/>
          <w:b/>
        </w:rPr>
        <w:t>ENERAL RESERVES</w:t>
      </w:r>
    </w:p>
    <w:p w:rsidR="00A35B6E" w:rsidRPr="006F766E" w:rsidRDefault="00A35B6E">
      <w:pPr>
        <w:pStyle w:val="ListParagraph"/>
        <w:ind w:left="502"/>
        <w:jc w:val="both"/>
        <w:rPr>
          <w:rFonts w:cs="Arial"/>
          <w:b/>
        </w:rPr>
      </w:pPr>
    </w:p>
    <w:p w:rsidR="00A35B6E" w:rsidRPr="006F766E" w:rsidRDefault="00A35B6E" w:rsidP="00AA3B74">
      <w:pPr>
        <w:pStyle w:val="ListParagraph"/>
        <w:numPr>
          <w:ilvl w:val="0"/>
          <w:numId w:val="128"/>
        </w:numPr>
        <w:ind w:left="567" w:hanging="567"/>
        <w:jc w:val="both"/>
        <w:rPr>
          <w:rFonts w:cs="Arial"/>
          <w:b/>
        </w:rPr>
      </w:pPr>
      <w:r w:rsidRPr="000F0C4F">
        <w:t>General</w:t>
      </w:r>
      <w:r>
        <w:t xml:space="preserve"> Fund b</w:t>
      </w:r>
      <w:r w:rsidR="007A0FD6">
        <w:t>alances remain at £10.059</w:t>
      </w:r>
      <w:r>
        <w:t>m. The 3 years MTFS 2018/19 to 2020/21 assumes no use of reserves.</w:t>
      </w:r>
    </w:p>
    <w:p w:rsidR="007A0FD6" w:rsidRDefault="007A0FD6">
      <w:pPr>
        <w:ind w:left="142"/>
        <w:jc w:val="both"/>
        <w:rPr>
          <w:rFonts w:cs="Arial"/>
          <w:b/>
        </w:rPr>
      </w:pPr>
    </w:p>
    <w:p w:rsidR="003C49D6" w:rsidRDefault="003C49D6">
      <w:pPr>
        <w:ind w:left="142"/>
        <w:jc w:val="both"/>
        <w:rPr>
          <w:rFonts w:cs="Arial"/>
          <w:b/>
        </w:rPr>
      </w:pPr>
    </w:p>
    <w:p w:rsidR="003812C7" w:rsidRDefault="003812C7">
      <w:pPr>
        <w:ind w:left="142"/>
        <w:jc w:val="both"/>
        <w:rPr>
          <w:rFonts w:cs="Arial"/>
          <w:b/>
        </w:rPr>
      </w:pPr>
    </w:p>
    <w:p w:rsidR="003812C7" w:rsidRDefault="003812C7">
      <w:pPr>
        <w:ind w:left="142"/>
        <w:jc w:val="both"/>
        <w:rPr>
          <w:rFonts w:cs="Arial"/>
          <w:b/>
        </w:rPr>
      </w:pPr>
    </w:p>
    <w:p w:rsidR="00A35B6E" w:rsidRDefault="00A35B6E">
      <w:pPr>
        <w:ind w:left="142"/>
        <w:jc w:val="both"/>
        <w:rPr>
          <w:rFonts w:cs="Arial"/>
          <w:b/>
        </w:rPr>
      </w:pPr>
      <w:r>
        <w:rPr>
          <w:rFonts w:cs="Arial"/>
          <w:b/>
        </w:rPr>
        <w:t>MTFS Implementation Tracker</w:t>
      </w:r>
    </w:p>
    <w:p w:rsidR="00A35B6E" w:rsidRDefault="00A35B6E">
      <w:pPr>
        <w:ind w:left="142"/>
        <w:jc w:val="both"/>
        <w:rPr>
          <w:rFonts w:cs="Arial"/>
          <w:b/>
        </w:rPr>
      </w:pPr>
    </w:p>
    <w:p w:rsidR="00A35B6E" w:rsidRPr="00AA3B74" w:rsidRDefault="00A35B6E" w:rsidP="00AA3B74">
      <w:pPr>
        <w:pStyle w:val="ListParagraph"/>
        <w:numPr>
          <w:ilvl w:val="0"/>
          <w:numId w:val="128"/>
        </w:numPr>
        <w:ind w:left="567" w:hanging="567"/>
        <w:jc w:val="both"/>
        <w:rPr>
          <w:rFonts w:cs="Arial"/>
          <w:b/>
        </w:rPr>
      </w:pPr>
      <w:r w:rsidRPr="006F766E">
        <w:t>The 2017</w:t>
      </w:r>
      <w:r>
        <w:t>/18</w:t>
      </w:r>
      <w:r w:rsidRPr="006F766E">
        <w:t xml:space="preserve"> budget includes approved MTFS savings of £</w:t>
      </w:r>
      <w:r>
        <w:t>10.241</w:t>
      </w:r>
      <w:r w:rsidRPr="006F766E">
        <w:t>m.</w:t>
      </w:r>
      <w:r w:rsidRPr="003C0457">
        <w:t xml:space="preserve"> </w:t>
      </w:r>
      <w:r w:rsidR="004A4912">
        <w:t>The a</w:t>
      </w:r>
      <w:r>
        <w:t>ctual</w:t>
      </w:r>
      <w:r w:rsidR="004A4912">
        <w:t xml:space="preserve"> achievement of savings </w:t>
      </w:r>
      <w:r w:rsidRPr="006F766E">
        <w:t xml:space="preserve">is summarised in table </w:t>
      </w:r>
      <w:r>
        <w:t>4</w:t>
      </w:r>
      <w:r w:rsidRPr="006F766E">
        <w:t xml:space="preserve"> below and shown in more detail in Appendix </w:t>
      </w:r>
      <w:r>
        <w:t>4:</w:t>
      </w:r>
    </w:p>
    <w:p w:rsidR="004A4912" w:rsidRPr="00B23BC2" w:rsidRDefault="004A4912" w:rsidP="00AA3B74">
      <w:pPr>
        <w:pStyle w:val="ListParagraph"/>
        <w:ind w:left="567"/>
        <w:jc w:val="both"/>
        <w:rPr>
          <w:rFonts w:cs="Arial"/>
          <w:b/>
        </w:rPr>
      </w:pPr>
    </w:p>
    <w:p w:rsidR="00A35B6E" w:rsidRPr="00AA3B74" w:rsidRDefault="00B23BC2" w:rsidP="00AA3B74">
      <w:pPr>
        <w:jc w:val="both"/>
        <w:rPr>
          <w:rFonts w:cs="Arial"/>
          <w:b/>
          <w:u w:val="single"/>
        </w:rPr>
      </w:pPr>
      <w:r>
        <w:rPr>
          <w:rFonts w:cs="Arial"/>
          <w:b/>
        </w:rPr>
        <w:t xml:space="preserve">     </w:t>
      </w:r>
      <w:r w:rsidR="00A35B6E" w:rsidRPr="00AA3B74">
        <w:rPr>
          <w:rFonts w:cs="Arial"/>
          <w:b/>
          <w:u w:val="single"/>
        </w:rPr>
        <w:t>Table 4 Summary of MTFS Tracker</w:t>
      </w:r>
    </w:p>
    <w:p w:rsidR="00A35B6E" w:rsidRDefault="005F793C" w:rsidP="00AA3B74">
      <w:pPr>
        <w:pStyle w:val="ListParagraph"/>
        <w:ind w:left="360"/>
        <w:jc w:val="both"/>
        <w:rPr>
          <w:rFonts w:cs="Arial"/>
          <w:b/>
        </w:rPr>
      </w:pPr>
      <w:r w:rsidRPr="005F793C">
        <w:rPr>
          <w:noProof/>
          <w:lang w:eastAsia="en-GB"/>
        </w:rPr>
        <w:drawing>
          <wp:inline distT="0" distB="0" distL="0" distR="0" wp14:anchorId="33D267DE" wp14:editId="29E77AE1">
            <wp:extent cx="6122035" cy="15474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035" cy="1547404"/>
                    </a:xfrm>
                    <a:prstGeom prst="rect">
                      <a:avLst/>
                    </a:prstGeom>
                    <a:noFill/>
                    <a:ln>
                      <a:noFill/>
                    </a:ln>
                  </pic:spPr>
                </pic:pic>
              </a:graphicData>
            </a:graphic>
          </wp:inline>
        </w:drawing>
      </w:r>
    </w:p>
    <w:p w:rsidR="009E12B2" w:rsidRDefault="009E12B2" w:rsidP="00AA3B74">
      <w:pPr>
        <w:pStyle w:val="ListParagraph"/>
        <w:ind w:left="360"/>
        <w:jc w:val="both"/>
        <w:rPr>
          <w:rFonts w:cs="Arial"/>
          <w:b/>
        </w:rPr>
      </w:pPr>
    </w:p>
    <w:tbl>
      <w:tblPr>
        <w:tblStyle w:val="TableGrid"/>
        <w:tblW w:w="0" w:type="auto"/>
        <w:tblInd w:w="534" w:type="dxa"/>
        <w:tblLook w:val="04A0" w:firstRow="1" w:lastRow="0" w:firstColumn="1" w:lastColumn="0" w:noHBand="0" w:noVBand="1"/>
      </w:tblPr>
      <w:tblGrid>
        <w:gridCol w:w="923"/>
        <w:gridCol w:w="5812"/>
      </w:tblGrid>
      <w:tr w:rsidR="009E12B2" w:rsidRPr="00307292" w:rsidTr="00AA3B74">
        <w:tc>
          <w:tcPr>
            <w:tcW w:w="923" w:type="dxa"/>
          </w:tcPr>
          <w:p w:rsidR="009E12B2" w:rsidRPr="00AA3B74" w:rsidRDefault="009E12B2">
            <w:pPr>
              <w:pStyle w:val="ListParagraph"/>
              <w:ind w:left="0"/>
              <w:jc w:val="both"/>
              <w:rPr>
                <w:rFonts w:cs="Arial"/>
              </w:rPr>
            </w:pPr>
            <w:r w:rsidRPr="00AA3B74">
              <w:rPr>
                <w:rFonts w:cs="Arial"/>
              </w:rPr>
              <w:t>Red</w:t>
            </w:r>
          </w:p>
        </w:tc>
        <w:tc>
          <w:tcPr>
            <w:tcW w:w="5812" w:type="dxa"/>
          </w:tcPr>
          <w:p w:rsidR="009E12B2" w:rsidRPr="00AA3B74" w:rsidRDefault="004E50D3">
            <w:pPr>
              <w:pStyle w:val="ListParagraph"/>
              <w:ind w:left="0"/>
              <w:jc w:val="both"/>
              <w:rPr>
                <w:rFonts w:cs="Arial"/>
              </w:rPr>
            </w:pPr>
            <w:r>
              <w:rPr>
                <w:rFonts w:cs="Arial"/>
              </w:rPr>
              <w:t>S</w:t>
            </w:r>
            <w:r w:rsidRPr="00AA3B74">
              <w:rPr>
                <w:rFonts w:cs="Arial"/>
              </w:rPr>
              <w:t>avings not achiev</w:t>
            </w:r>
            <w:r>
              <w:rPr>
                <w:rFonts w:cs="Arial"/>
              </w:rPr>
              <w:t>ed</w:t>
            </w:r>
          </w:p>
        </w:tc>
      </w:tr>
      <w:tr w:rsidR="009E12B2" w:rsidRPr="00307292" w:rsidTr="00AA3B74">
        <w:tc>
          <w:tcPr>
            <w:tcW w:w="923" w:type="dxa"/>
          </w:tcPr>
          <w:p w:rsidR="009E12B2" w:rsidRPr="00AA3B74" w:rsidRDefault="009E12B2">
            <w:pPr>
              <w:pStyle w:val="ListParagraph"/>
              <w:ind w:left="0"/>
              <w:jc w:val="both"/>
              <w:rPr>
                <w:rFonts w:cs="Arial"/>
              </w:rPr>
            </w:pPr>
            <w:r w:rsidRPr="00AA3B74">
              <w:rPr>
                <w:rFonts w:cs="Arial"/>
              </w:rPr>
              <w:t>Amber</w:t>
            </w:r>
          </w:p>
        </w:tc>
        <w:tc>
          <w:tcPr>
            <w:tcW w:w="5812" w:type="dxa"/>
          </w:tcPr>
          <w:p w:rsidR="009E12B2" w:rsidRPr="00AA3B74" w:rsidRDefault="009E12B2">
            <w:pPr>
              <w:pStyle w:val="ListParagraph"/>
              <w:ind w:left="0"/>
              <w:jc w:val="both"/>
              <w:rPr>
                <w:rFonts w:cs="Arial"/>
              </w:rPr>
            </w:pPr>
            <w:r w:rsidRPr="00AA3B74">
              <w:rPr>
                <w:rFonts w:cs="Arial"/>
              </w:rPr>
              <w:t>Savings only partially achieved or risk remaining</w:t>
            </w:r>
          </w:p>
        </w:tc>
      </w:tr>
      <w:tr w:rsidR="009E12B2" w:rsidRPr="00307292" w:rsidTr="00AA3B74">
        <w:tc>
          <w:tcPr>
            <w:tcW w:w="923" w:type="dxa"/>
          </w:tcPr>
          <w:p w:rsidR="009E12B2" w:rsidRPr="00AA3B74" w:rsidRDefault="009E12B2">
            <w:pPr>
              <w:pStyle w:val="ListParagraph"/>
              <w:ind w:left="0"/>
              <w:jc w:val="both"/>
              <w:rPr>
                <w:rFonts w:cs="Arial"/>
              </w:rPr>
            </w:pPr>
            <w:r w:rsidRPr="00AA3B74">
              <w:rPr>
                <w:rFonts w:cs="Arial"/>
              </w:rPr>
              <w:t>Green</w:t>
            </w:r>
          </w:p>
        </w:tc>
        <w:tc>
          <w:tcPr>
            <w:tcW w:w="5812" w:type="dxa"/>
          </w:tcPr>
          <w:p w:rsidR="009E12B2" w:rsidRPr="00AA3B74" w:rsidRDefault="009E12B2">
            <w:pPr>
              <w:pStyle w:val="ListParagraph"/>
              <w:ind w:left="0"/>
              <w:jc w:val="both"/>
              <w:rPr>
                <w:rFonts w:cs="Arial"/>
              </w:rPr>
            </w:pPr>
            <w:r w:rsidRPr="00AA3B74">
              <w:rPr>
                <w:rFonts w:cs="Arial"/>
              </w:rPr>
              <w:t>Achievement of savings on track</w:t>
            </w:r>
          </w:p>
        </w:tc>
      </w:tr>
      <w:tr w:rsidR="009E12B2" w:rsidRPr="00A35B6E" w:rsidTr="00AA3B74">
        <w:tc>
          <w:tcPr>
            <w:tcW w:w="923" w:type="dxa"/>
          </w:tcPr>
          <w:p w:rsidR="009E12B2" w:rsidRPr="00AA3B74" w:rsidRDefault="009E12B2">
            <w:pPr>
              <w:pStyle w:val="ListParagraph"/>
              <w:ind w:left="0"/>
              <w:jc w:val="both"/>
              <w:rPr>
                <w:rFonts w:cs="Arial"/>
              </w:rPr>
            </w:pPr>
            <w:r w:rsidRPr="00AA3B74">
              <w:rPr>
                <w:rFonts w:cs="Arial"/>
              </w:rPr>
              <w:t>Blue</w:t>
            </w:r>
          </w:p>
        </w:tc>
        <w:tc>
          <w:tcPr>
            <w:tcW w:w="5812" w:type="dxa"/>
          </w:tcPr>
          <w:p w:rsidR="009E12B2" w:rsidRPr="00AA3B74" w:rsidRDefault="009E12B2">
            <w:pPr>
              <w:pStyle w:val="ListParagraph"/>
              <w:ind w:left="0"/>
              <w:jc w:val="both"/>
              <w:rPr>
                <w:rFonts w:cs="Arial"/>
              </w:rPr>
            </w:pPr>
            <w:r w:rsidRPr="00AA3B74">
              <w:rPr>
                <w:rFonts w:cs="Arial"/>
              </w:rPr>
              <w:t>Savings achieved and banked</w:t>
            </w:r>
          </w:p>
        </w:tc>
      </w:tr>
    </w:tbl>
    <w:p w:rsidR="00A35B6E" w:rsidRPr="00A35B6E" w:rsidRDefault="00A35B6E" w:rsidP="00AA3B74">
      <w:pPr>
        <w:pStyle w:val="ListParagraph"/>
        <w:ind w:left="360"/>
        <w:jc w:val="both"/>
        <w:rPr>
          <w:rFonts w:cs="Arial"/>
        </w:rPr>
      </w:pPr>
    </w:p>
    <w:p w:rsidR="00DB3CEF" w:rsidRDefault="00A35B6E" w:rsidP="00AA3B74">
      <w:pPr>
        <w:pStyle w:val="ListParagraph"/>
        <w:numPr>
          <w:ilvl w:val="0"/>
          <w:numId w:val="128"/>
        </w:numPr>
        <w:suppressAutoHyphens/>
        <w:spacing w:after="200" w:line="276" w:lineRule="auto"/>
        <w:ind w:left="567" w:hanging="567"/>
        <w:jc w:val="both"/>
        <w:rPr>
          <w:rFonts w:cs="Arial"/>
          <w:szCs w:val="24"/>
          <w:lang w:eastAsia="ar-SA"/>
        </w:rPr>
      </w:pPr>
      <w:r w:rsidRPr="009E12B2">
        <w:rPr>
          <w:rFonts w:cs="Arial"/>
          <w:szCs w:val="24"/>
          <w:lang w:eastAsia="ar-SA"/>
        </w:rPr>
        <w:t>Of the £10.241m of savin</w:t>
      </w:r>
      <w:r w:rsidR="000808DA">
        <w:rPr>
          <w:rFonts w:cs="Arial"/>
          <w:szCs w:val="24"/>
          <w:lang w:eastAsia="ar-SA"/>
        </w:rPr>
        <w:t>gs in 2017/18, a total of £2.286</w:t>
      </w:r>
      <w:r w:rsidRPr="009E12B2">
        <w:rPr>
          <w:rFonts w:cs="Arial"/>
          <w:szCs w:val="24"/>
          <w:lang w:eastAsia="ar-SA"/>
        </w:rPr>
        <w:t>m are been categorised as red savings which means they were not achieved in 2017/18.  Some of these savings are red as the implementation was delayed and, although not achieved in 2017/1</w:t>
      </w:r>
      <w:r w:rsidR="004A4912" w:rsidRPr="009E12B2">
        <w:rPr>
          <w:rFonts w:cs="Arial"/>
          <w:szCs w:val="24"/>
          <w:lang w:eastAsia="ar-SA"/>
        </w:rPr>
        <w:t>8, will be progressed in 2018/19</w:t>
      </w:r>
      <w:r w:rsidRPr="009E12B2">
        <w:rPr>
          <w:rFonts w:cs="Arial"/>
          <w:szCs w:val="24"/>
          <w:lang w:eastAsia="ar-SA"/>
        </w:rPr>
        <w:t>. Others relate to savings which have been r</w:t>
      </w:r>
      <w:r w:rsidR="004A4912" w:rsidRPr="009E12B2">
        <w:rPr>
          <w:rFonts w:cs="Arial"/>
          <w:szCs w:val="24"/>
          <w:lang w:eastAsia="ar-SA"/>
        </w:rPr>
        <w:t>eversed out as part of the 2018/19 b</w:t>
      </w:r>
      <w:r w:rsidRPr="009E12B2">
        <w:rPr>
          <w:rFonts w:cs="Arial"/>
          <w:szCs w:val="24"/>
          <w:lang w:eastAsia="ar-SA"/>
        </w:rPr>
        <w:t xml:space="preserve">udget setting process.  </w:t>
      </w:r>
    </w:p>
    <w:p w:rsidR="009E12B2" w:rsidRPr="009E12B2" w:rsidRDefault="009E12B2" w:rsidP="00AA3B74">
      <w:pPr>
        <w:pStyle w:val="ListParagraph"/>
        <w:suppressAutoHyphens/>
        <w:spacing w:after="200" w:line="276" w:lineRule="auto"/>
        <w:ind w:left="567"/>
        <w:jc w:val="both"/>
        <w:rPr>
          <w:rFonts w:cs="Arial"/>
          <w:szCs w:val="24"/>
          <w:lang w:eastAsia="ar-SA"/>
        </w:rPr>
      </w:pPr>
    </w:p>
    <w:p w:rsidR="00A35B6E" w:rsidRPr="00AA3B74" w:rsidRDefault="00A35B6E" w:rsidP="00AA3B74">
      <w:pPr>
        <w:pStyle w:val="ListParagraph"/>
        <w:suppressAutoHyphens/>
        <w:spacing w:after="200" w:line="276" w:lineRule="auto"/>
        <w:ind w:left="360"/>
        <w:jc w:val="both"/>
        <w:rPr>
          <w:rFonts w:cs="Arial"/>
          <w:b/>
          <w:szCs w:val="24"/>
          <w:lang w:eastAsia="ar-SA"/>
        </w:rPr>
      </w:pPr>
      <w:r w:rsidRPr="00AA3B74">
        <w:rPr>
          <w:rFonts w:cs="Arial"/>
          <w:b/>
          <w:szCs w:val="24"/>
          <w:lang w:eastAsia="ar-SA"/>
        </w:rPr>
        <w:t>Analysis of the Red Savings</w:t>
      </w:r>
    </w:p>
    <w:p w:rsidR="009E12B2" w:rsidRDefault="00A35B6E" w:rsidP="00AA3B74">
      <w:pPr>
        <w:pStyle w:val="ListParagraph"/>
        <w:numPr>
          <w:ilvl w:val="0"/>
          <w:numId w:val="128"/>
        </w:numPr>
        <w:suppressAutoHyphens/>
        <w:spacing w:after="200" w:line="276" w:lineRule="auto"/>
        <w:ind w:left="567" w:hanging="567"/>
        <w:jc w:val="both"/>
        <w:rPr>
          <w:rFonts w:cs="Arial"/>
          <w:szCs w:val="24"/>
          <w:lang w:eastAsia="ar-SA"/>
        </w:rPr>
      </w:pPr>
      <w:r w:rsidRPr="00A35B6E">
        <w:rPr>
          <w:rFonts w:cs="Arial"/>
          <w:szCs w:val="24"/>
          <w:lang w:eastAsia="ar-SA"/>
        </w:rPr>
        <w:t xml:space="preserve"> Resources directorate  £0.082m savings classified as red</w:t>
      </w:r>
      <w:r w:rsidR="00C543D6">
        <w:rPr>
          <w:rFonts w:cs="Arial"/>
          <w:szCs w:val="24"/>
          <w:lang w:eastAsia="ar-SA"/>
        </w:rPr>
        <w:t xml:space="preserve"> are detailed as follows:</w:t>
      </w:r>
    </w:p>
    <w:p w:rsidR="00A35B6E" w:rsidRPr="00A35B6E" w:rsidRDefault="00A35B6E" w:rsidP="00AA3B74">
      <w:pPr>
        <w:pStyle w:val="ListParagraph"/>
        <w:suppressAutoHyphens/>
        <w:spacing w:after="200" w:line="276" w:lineRule="auto"/>
        <w:ind w:left="360"/>
        <w:jc w:val="both"/>
        <w:rPr>
          <w:rFonts w:cs="Arial"/>
          <w:szCs w:val="24"/>
          <w:lang w:eastAsia="ar-SA"/>
        </w:rPr>
      </w:pPr>
    </w:p>
    <w:p w:rsidR="00A35B6E" w:rsidRPr="00A35B6E" w:rsidRDefault="00D74868" w:rsidP="00AA3B74">
      <w:pPr>
        <w:pStyle w:val="ListParagraph"/>
        <w:numPr>
          <w:ilvl w:val="0"/>
          <w:numId w:val="110"/>
        </w:numPr>
        <w:suppressAutoHyphens/>
        <w:spacing w:after="200" w:line="276" w:lineRule="auto"/>
        <w:jc w:val="both"/>
        <w:rPr>
          <w:rFonts w:cs="Arial"/>
          <w:szCs w:val="24"/>
          <w:lang w:eastAsia="ar-SA"/>
        </w:rPr>
      </w:pPr>
      <w:r>
        <w:rPr>
          <w:rFonts w:cs="Arial"/>
          <w:szCs w:val="24"/>
          <w:lang w:eastAsia="ar-SA"/>
        </w:rPr>
        <w:t>A</w:t>
      </w:r>
      <w:r w:rsidR="00A35B6E" w:rsidRPr="00A35B6E">
        <w:rPr>
          <w:rFonts w:cs="Arial"/>
          <w:szCs w:val="24"/>
          <w:lang w:eastAsia="ar-SA"/>
        </w:rPr>
        <w:t xml:space="preserve"> saving of £0.057m from retendering of</w:t>
      </w:r>
      <w:r>
        <w:rPr>
          <w:rFonts w:cs="Arial"/>
          <w:szCs w:val="24"/>
          <w:lang w:eastAsia="ar-SA"/>
        </w:rPr>
        <w:t xml:space="preserve"> the Communication service was</w:t>
      </w:r>
      <w:r w:rsidR="00A35B6E" w:rsidRPr="00A35B6E">
        <w:rPr>
          <w:rFonts w:cs="Arial"/>
          <w:szCs w:val="24"/>
          <w:lang w:eastAsia="ar-SA"/>
        </w:rPr>
        <w:t xml:space="preserve"> not achieved as the demand for the service in the organisation did not reduce </w:t>
      </w:r>
      <w:r>
        <w:rPr>
          <w:rFonts w:cs="Arial"/>
          <w:szCs w:val="24"/>
          <w:lang w:eastAsia="ar-SA"/>
        </w:rPr>
        <w:t>as expected</w:t>
      </w:r>
      <w:r w:rsidR="00A35B6E" w:rsidRPr="00A35B6E">
        <w:rPr>
          <w:rFonts w:cs="Arial"/>
          <w:szCs w:val="24"/>
          <w:lang w:eastAsia="ar-SA"/>
        </w:rPr>
        <w:t>. The saving has been reversed as part of the 2018/19 budget setting.</w:t>
      </w:r>
    </w:p>
    <w:p w:rsidR="00A35B6E" w:rsidRPr="00A35B6E" w:rsidRDefault="00A35B6E" w:rsidP="00AA3B74">
      <w:pPr>
        <w:pStyle w:val="ListParagraph"/>
        <w:suppressAutoHyphens/>
        <w:spacing w:after="200" w:line="276" w:lineRule="auto"/>
        <w:ind w:left="360"/>
        <w:jc w:val="both"/>
        <w:rPr>
          <w:rFonts w:cs="Arial"/>
          <w:szCs w:val="24"/>
          <w:lang w:eastAsia="ar-SA"/>
        </w:rPr>
      </w:pPr>
    </w:p>
    <w:p w:rsidR="00A35B6E" w:rsidRDefault="00D74868" w:rsidP="00AA3B74">
      <w:pPr>
        <w:pStyle w:val="ListParagraph"/>
        <w:numPr>
          <w:ilvl w:val="0"/>
          <w:numId w:val="110"/>
        </w:numPr>
        <w:suppressAutoHyphens/>
        <w:spacing w:after="200" w:line="276" w:lineRule="auto"/>
        <w:jc w:val="both"/>
        <w:rPr>
          <w:rFonts w:cs="Arial"/>
          <w:szCs w:val="24"/>
          <w:lang w:eastAsia="ar-SA"/>
        </w:rPr>
      </w:pPr>
      <w:r>
        <w:rPr>
          <w:rFonts w:cs="Arial"/>
          <w:szCs w:val="24"/>
          <w:lang w:eastAsia="ar-SA"/>
        </w:rPr>
        <w:t xml:space="preserve">A saving of £0.025m in </w:t>
      </w:r>
      <w:r w:rsidR="00A35B6E" w:rsidRPr="00DD7468">
        <w:rPr>
          <w:rFonts w:cs="Arial"/>
          <w:szCs w:val="24"/>
          <w:lang w:eastAsia="ar-SA"/>
        </w:rPr>
        <w:t xml:space="preserve">Communications </w:t>
      </w:r>
      <w:r w:rsidR="00BE2DC6">
        <w:rPr>
          <w:rFonts w:cs="Arial"/>
          <w:szCs w:val="24"/>
          <w:lang w:eastAsia="ar-SA"/>
        </w:rPr>
        <w:t>from</w:t>
      </w:r>
      <w:r>
        <w:rPr>
          <w:rFonts w:cs="Arial"/>
          <w:szCs w:val="24"/>
          <w:lang w:eastAsia="ar-SA"/>
        </w:rPr>
        <w:t xml:space="preserve"> additional income </w:t>
      </w:r>
      <w:r w:rsidR="00A35B6E" w:rsidRPr="00DD7468">
        <w:rPr>
          <w:rFonts w:cs="Arial"/>
          <w:szCs w:val="24"/>
          <w:lang w:eastAsia="ar-SA"/>
        </w:rPr>
        <w:t>will be difficult to achieve in 2018/19. Any pressure w</w:t>
      </w:r>
      <w:r w:rsidR="00A35B6E" w:rsidRPr="00AE7967">
        <w:rPr>
          <w:rFonts w:cs="Arial"/>
          <w:szCs w:val="24"/>
          <w:lang w:eastAsia="ar-SA"/>
        </w:rPr>
        <w:t>ill be managed through the Resources Directorate, and proposals will be brought forward to create a sustainable position for Communications during 2018.</w:t>
      </w:r>
    </w:p>
    <w:p w:rsidR="0042269B" w:rsidRPr="00AE7967" w:rsidRDefault="0042269B" w:rsidP="00AA3B74">
      <w:pPr>
        <w:pStyle w:val="ListParagraph"/>
        <w:jc w:val="both"/>
        <w:rPr>
          <w:rFonts w:cs="Arial"/>
          <w:szCs w:val="24"/>
          <w:lang w:eastAsia="ar-SA"/>
        </w:rPr>
      </w:pPr>
    </w:p>
    <w:p w:rsidR="00A35B6E" w:rsidRDefault="00A35B6E" w:rsidP="00AA3B74">
      <w:pPr>
        <w:pStyle w:val="ListParagraph"/>
        <w:numPr>
          <w:ilvl w:val="0"/>
          <w:numId w:val="128"/>
        </w:numPr>
        <w:suppressAutoHyphens/>
        <w:spacing w:after="200" w:line="276" w:lineRule="auto"/>
        <w:ind w:left="567" w:hanging="567"/>
        <w:jc w:val="both"/>
        <w:rPr>
          <w:rFonts w:cs="Arial"/>
          <w:szCs w:val="24"/>
          <w:lang w:eastAsia="ar-SA"/>
        </w:rPr>
      </w:pPr>
      <w:r w:rsidRPr="00A35B6E">
        <w:rPr>
          <w:rFonts w:cs="Arial"/>
          <w:szCs w:val="24"/>
          <w:lang w:eastAsia="ar-SA"/>
        </w:rPr>
        <w:t xml:space="preserve">In </w:t>
      </w:r>
      <w:r w:rsidRPr="00A35B6E">
        <w:rPr>
          <w:rFonts w:cs="Arial"/>
          <w:b/>
          <w:szCs w:val="24"/>
          <w:lang w:eastAsia="ar-SA"/>
        </w:rPr>
        <w:t>Community</w:t>
      </w:r>
      <w:r w:rsidRPr="00A35B6E">
        <w:rPr>
          <w:rFonts w:cs="Arial"/>
          <w:szCs w:val="24"/>
          <w:lang w:eastAsia="ar-SA"/>
        </w:rPr>
        <w:t xml:space="preserve"> the red savings of £0.389m relates to the following</w:t>
      </w:r>
      <w:r>
        <w:rPr>
          <w:rFonts w:cs="Arial"/>
          <w:szCs w:val="24"/>
          <w:lang w:eastAsia="ar-SA"/>
        </w:rPr>
        <w:t>:</w:t>
      </w:r>
    </w:p>
    <w:p w:rsidR="002A5817" w:rsidRDefault="002A5817" w:rsidP="00AA3B74">
      <w:pPr>
        <w:pStyle w:val="ListParagraph"/>
        <w:suppressAutoHyphens/>
        <w:spacing w:after="200" w:line="276" w:lineRule="auto"/>
        <w:ind w:left="567"/>
        <w:jc w:val="both"/>
        <w:rPr>
          <w:rFonts w:cs="Arial"/>
          <w:szCs w:val="24"/>
          <w:lang w:eastAsia="ar-SA"/>
        </w:rPr>
      </w:pPr>
    </w:p>
    <w:p w:rsidR="00A35B6E" w:rsidRDefault="00A35B6E">
      <w:pPr>
        <w:pStyle w:val="ListParagraph"/>
        <w:numPr>
          <w:ilvl w:val="1"/>
          <w:numId w:val="65"/>
        </w:numPr>
        <w:jc w:val="both"/>
        <w:rPr>
          <w:rFonts w:cs="Arial"/>
        </w:rPr>
      </w:pPr>
      <w:r>
        <w:rPr>
          <w:rFonts w:cs="Arial"/>
        </w:rPr>
        <w:t xml:space="preserve">Extension of Property Purchase 50 Homes £0.254m – </w:t>
      </w:r>
      <w:r w:rsidRPr="005E38C6">
        <w:rPr>
          <w:rFonts w:cs="Arial"/>
        </w:rPr>
        <w:t>a gross saving of £948k is included in the MTFS.  Capital financing costs are assumed at £573k leaving a net contribution to the MTFS of £375k.  This net contribution is now being reversed out of the budget over 2018/19 and 2019/20.  The £15m capital budget for the purchase of the 50 homes remains in the Capital Programme.  The updated MTFS assumes that, when the 50 homes are purchased, all capital financing costs will be met</w:t>
      </w:r>
      <w:r>
        <w:rPr>
          <w:rFonts w:cs="Arial"/>
        </w:rPr>
        <w:t xml:space="preserve"> from savings on bed and breakfast accommodation budgets</w:t>
      </w:r>
      <w:r w:rsidRPr="005E38C6">
        <w:rPr>
          <w:rFonts w:cs="Arial"/>
        </w:rPr>
        <w:t xml:space="preserve"> within the Housing Division to ensure the second tranche of the property purchase initiative is cost neutral to the</w:t>
      </w:r>
      <w:r w:rsidR="00734092">
        <w:rPr>
          <w:rFonts w:cs="Arial"/>
        </w:rPr>
        <w:t xml:space="preserve"> revised</w:t>
      </w:r>
      <w:r w:rsidRPr="005E38C6">
        <w:rPr>
          <w:rFonts w:cs="Arial"/>
        </w:rPr>
        <w:t xml:space="preserve"> MTFS</w:t>
      </w:r>
      <w:r>
        <w:rPr>
          <w:rFonts w:cs="Arial"/>
        </w:rPr>
        <w:t>.</w:t>
      </w:r>
    </w:p>
    <w:p w:rsidR="00A35B6E" w:rsidRDefault="00A35B6E">
      <w:pPr>
        <w:pStyle w:val="ListParagraph"/>
        <w:ind w:left="1440"/>
        <w:jc w:val="both"/>
        <w:rPr>
          <w:rFonts w:cs="Arial"/>
        </w:rPr>
      </w:pPr>
    </w:p>
    <w:p w:rsidR="00A35B6E" w:rsidRPr="004A4A51" w:rsidRDefault="00A35B6E">
      <w:pPr>
        <w:pStyle w:val="ListParagraph"/>
        <w:numPr>
          <w:ilvl w:val="1"/>
          <w:numId w:val="65"/>
        </w:numPr>
        <w:jc w:val="both"/>
        <w:rPr>
          <w:rFonts w:cs="Arial"/>
        </w:rPr>
      </w:pPr>
      <w:r w:rsidRPr="004A4A51">
        <w:rPr>
          <w:rFonts w:cs="Arial"/>
        </w:rPr>
        <w:t>Redevelopment of Harrow Leisure Centre £0.100m - The redevelopment of Harrow Leisure Centre will not now be completed until 2020</w:t>
      </w:r>
      <w:r w:rsidR="00734092">
        <w:rPr>
          <w:rFonts w:cs="Arial"/>
        </w:rPr>
        <w:t>/</w:t>
      </w:r>
      <w:r w:rsidRPr="004A4A51">
        <w:rPr>
          <w:rFonts w:cs="Arial"/>
        </w:rPr>
        <w:t xml:space="preserve">21 at the earliest. </w:t>
      </w:r>
      <w:r w:rsidR="00B37831">
        <w:rPr>
          <w:rFonts w:cs="Arial"/>
        </w:rPr>
        <w:t>In 2018/19, the savings target will be mitigated elsewhere within the service for example, the installation of new soft play area</w:t>
      </w:r>
      <w:r w:rsidR="00D74868">
        <w:rPr>
          <w:rFonts w:cs="Arial"/>
        </w:rPr>
        <w:t xml:space="preserve"> </w:t>
      </w:r>
      <w:r w:rsidR="00B37831">
        <w:rPr>
          <w:rFonts w:cs="Arial"/>
        </w:rPr>
        <w:t xml:space="preserve">in </w:t>
      </w:r>
      <w:r w:rsidR="005314CD">
        <w:rPr>
          <w:rFonts w:cs="Arial"/>
        </w:rPr>
        <w:t>Harrow</w:t>
      </w:r>
      <w:r w:rsidR="00B37831">
        <w:rPr>
          <w:rFonts w:cs="Arial"/>
        </w:rPr>
        <w:t xml:space="preserve"> leisure centre to generate income.</w:t>
      </w:r>
    </w:p>
    <w:p w:rsidR="00A35B6E" w:rsidRPr="004A4A51" w:rsidRDefault="00A35B6E">
      <w:pPr>
        <w:pStyle w:val="ListParagraph"/>
        <w:jc w:val="both"/>
        <w:rPr>
          <w:rFonts w:cs="Arial"/>
        </w:rPr>
      </w:pPr>
    </w:p>
    <w:p w:rsidR="00A35B6E" w:rsidRPr="00AA3B74" w:rsidRDefault="00A35B6E" w:rsidP="00AA3B74">
      <w:pPr>
        <w:pStyle w:val="ListParagraph"/>
        <w:numPr>
          <w:ilvl w:val="1"/>
          <w:numId w:val="65"/>
        </w:numPr>
        <w:suppressAutoHyphens/>
        <w:spacing w:after="200" w:line="276" w:lineRule="auto"/>
        <w:jc w:val="both"/>
        <w:rPr>
          <w:rFonts w:cs="Arial"/>
          <w:szCs w:val="24"/>
          <w:lang w:eastAsia="ar-SA"/>
        </w:rPr>
      </w:pPr>
      <w:r w:rsidRPr="003230D9">
        <w:rPr>
          <w:rFonts w:cs="Arial"/>
        </w:rPr>
        <w:t xml:space="preserve">Efficiencies arising from Selective Licensing £0.035m </w:t>
      </w:r>
      <w:r>
        <w:rPr>
          <w:rFonts w:cs="Arial"/>
        </w:rPr>
        <w:t>–</w:t>
      </w:r>
      <w:r w:rsidRPr="003230D9">
        <w:rPr>
          <w:rFonts w:cs="Arial"/>
        </w:rPr>
        <w:t xml:space="preserve"> </w:t>
      </w:r>
      <w:r>
        <w:rPr>
          <w:rFonts w:cs="Arial"/>
        </w:rPr>
        <w:t xml:space="preserve">The roll out of the selective licensing scheme to other wards </w:t>
      </w:r>
      <w:r w:rsidR="00BE2DC6">
        <w:rPr>
          <w:rFonts w:cs="Arial"/>
        </w:rPr>
        <w:t>were</w:t>
      </w:r>
      <w:r>
        <w:rPr>
          <w:rFonts w:cs="Arial"/>
        </w:rPr>
        <w:t xml:space="preserve"> delayed</w:t>
      </w:r>
      <w:r w:rsidR="00EC44F3">
        <w:rPr>
          <w:rFonts w:cs="Arial"/>
        </w:rPr>
        <w:t>.</w:t>
      </w:r>
      <w:r w:rsidR="00B37831">
        <w:rPr>
          <w:rFonts w:cs="Arial"/>
        </w:rPr>
        <w:t xml:space="preserve"> However South Harrow scheme is now live.</w:t>
      </w:r>
    </w:p>
    <w:p w:rsidR="00EC44F3" w:rsidRPr="00AA3B74" w:rsidRDefault="00EC44F3" w:rsidP="00AA3B74">
      <w:pPr>
        <w:pStyle w:val="ListParagraph"/>
        <w:jc w:val="both"/>
        <w:rPr>
          <w:rFonts w:cs="Arial"/>
          <w:szCs w:val="24"/>
          <w:lang w:eastAsia="ar-SA"/>
        </w:rPr>
      </w:pPr>
    </w:p>
    <w:p w:rsidR="0074679A" w:rsidRDefault="00A35B6E" w:rsidP="00AA3B74">
      <w:pPr>
        <w:pStyle w:val="ListParagraph"/>
        <w:numPr>
          <w:ilvl w:val="0"/>
          <w:numId w:val="128"/>
        </w:numPr>
        <w:suppressAutoHyphens/>
        <w:spacing w:after="200" w:line="276" w:lineRule="auto"/>
        <w:ind w:left="567" w:hanging="567"/>
        <w:jc w:val="both"/>
        <w:rPr>
          <w:rFonts w:cs="Arial"/>
          <w:szCs w:val="24"/>
          <w:lang w:eastAsia="ar-SA"/>
        </w:rPr>
      </w:pPr>
      <w:r w:rsidRPr="00A35B6E">
        <w:rPr>
          <w:rFonts w:cs="Arial"/>
          <w:szCs w:val="24"/>
          <w:lang w:eastAsia="ar-SA"/>
        </w:rPr>
        <w:t>The red savings in Regeneration Enterprise &amp; Planning division of £0.100m is in relation to the Planning Fees.  The new fees were only implemented in January 2018. It is anticipated that this will contribute to achieving this saving target in 2018/19</w:t>
      </w:r>
      <w:r>
        <w:rPr>
          <w:rFonts w:cs="Arial"/>
          <w:szCs w:val="24"/>
          <w:lang w:eastAsia="ar-SA"/>
        </w:rPr>
        <w:t>.</w:t>
      </w:r>
    </w:p>
    <w:p w:rsidR="00DB3CEF" w:rsidRDefault="00DB3CEF" w:rsidP="00AA3B74">
      <w:pPr>
        <w:pStyle w:val="ListParagraph"/>
        <w:suppressAutoHyphens/>
        <w:spacing w:after="200" w:line="276" w:lineRule="auto"/>
        <w:ind w:left="374"/>
        <w:jc w:val="both"/>
        <w:rPr>
          <w:rFonts w:cs="Arial"/>
          <w:szCs w:val="24"/>
          <w:lang w:eastAsia="ar-SA"/>
        </w:rPr>
      </w:pPr>
    </w:p>
    <w:p w:rsidR="00A35B6E" w:rsidRDefault="00A35B6E" w:rsidP="00AA3B74">
      <w:pPr>
        <w:pStyle w:val="ListParagraph"/>
        <w:numPr>
          <w:ilvl w:val="0"/>
          <w:numId w:val="128"/>
        </w:numPr>
        <w:suppressAutoHyphens/>
        <w:spacing w:after="200" w:line="276" w:lineRule="auto"/>
        <w:ind w:left="567" w:hanging="567"/>
        <w:jc w:val="both"/>
        <w:rPr>
          <w:rFonts w:cs="Arial"/>
          <w:szCs w:val="24"/>
          <w:lang w:eastAsia="ar-SA"/>
        </w:rPr>
      </w:pPr>
      <w:r w:rsidRPr="00A35B6E">
        <w:rPr>
          <w:rFonts w:cs="Arial"/>
          <w:b/>
          <w:szCs w:val="24"/>
          <w:lang w:eastAsia="ar-SA"/>
        </w:rPr>
        <w:t>People Services</w:t>
      </w:r>
      <w:r w:rsidR="009E3481">
        <w:rPr>
          <w:rFonts w:cs="Arial"/>
          <w:szCs w:val="24"/>
          <w:lang w:eastAsia="ar-SA"/>
        </w:rPr>
        <w:t xml:space="preserve"> savings of £1.365</w:t>
      </w:r>
      <w:r w:rsidRPr="00A35B6E">
        <w:rPr>
          <w:rFonts w:cs="Arial"/>
          <w:szCs w:val="24"/>
          <w:lang w:eastAsia="ar-SA"/>
        </w:rPr>
        <w:t>m are rated as red</w:t>
      </w:r>
      <w:r>
        <w:rPr>
          <w:rFonts w:cs="Arial"/>
          <w:szCs w:val="24"/>
          <w:lang w:eastAsia="ar-SA"/>
        </w:rPr>
        <w:t>.</w:t>
      </w:r>
    </w:p>
    <w:p w:rsidR="00DB3CEF" w:rsidRDefault="00DB3CEF" w:rsidP="00AA3B74">
      <w:pPr>
        <w:pStyle w:val="ListParagraph"/>
        <w:suppressAutoHyphens/>
        <w:spacing w:after="200" w:line="276" w:lineRule="auto"/>
        <w:ind w:left="374"/>
        <w:jc w:val="both"/>
        <w:rPr>
          <w:rFonts w:cs="Arial"/>
          <w:szCs w:val="24"/>
          <w:lang w:eastAsia="ar-SA"/>
        </w:rPr>
      </w:pPr>
    </w:p>
    <w:p w:rsidR="00734092" w:rsidRDefault="00734092" w:rsidP="00AA3B74">
      <w:pPr>
        <w:pStyle w:val="ListParagraph"/>
        <w:numPr>
          <w:ilvl w:val="0"/>
          <w:numId w:val="128"/>
        </w:numPr>
        <w:suppressAutoHyphens/>
        <w:spacing w:after="200" w:line="276" w:lineRule="auto"/>
        <w:ind w:left="567" w:hanging="567"/>
        <w:jc w:val="both"/>
        <w:rPr>
          <w:rFonts w:cs="Arial"/>
          <w:szCs w:val="24"/>
          <w:lang w:eastAsia="ar-SA"/>
        </w:rPr>
      </w:pPr>
      <w:r w:rsidRPr="00AA3B74">
        <w:rPr>
          <w:rFonts w:cs="Arial"/>
          <w:szCs w:val="24"/>
          <w:lang w:eastAsia="ar-SA"/>
        </w:rPr>
        <w:t>In</w:t>
      </w:r>
      <w:r>
        <w:rPr>
          <w:rFonts w:cs="Arial"/>
          <w:b/>
          <w:szCs w:val="24"/>
          <w:lang w:eastAsia="ar-SA"/>
        </w:rPr>
        <w:t xml:space="preserve"> Adult services,  </w:t>
      </w:r>
      <w:r>
        <w:rPr>
          <w:rFonts w:cs="Arial"/>
          <w:szCs w:val="24"/>
          <w:lang w:eastAsia="ar-SA"/>
        </w:rPr>
        <w:t xml:space="preserve">the red savings of </w:t>
      </w:r>
      <w:r w:rsidRPr="00AA3B74">
        <w:rPr>
          <w:rFonts w:cs="Arial"/>
          <w:szCs w:val="24"/>
          <w:lang w:eastAsia="ar-SA"/>
        </w:rPr>
        <w:t xml:space="preserve"> </w:t>
      </w:r>
      <w:r w:rsidR="009E3481">
        <w:rPr>
          <w:rFonts w:cs="Arial"/>
          <w:szCs w:val="24"/>
          <w:lang w:eastAsia="ar-SA"/>
        </w:rPr>
        <w:t>£1.365</w:t>
      </w:r>
      <w:r w:rsidRPr="00AA3B74">
        <w:rPr>
          <w:rFonts w:cs="Arial"/>
          <w:szCs w:val="24"/>
          <w:lang w:eastAsia="ar-SA"/>
        </w:rPr>
        <w:t>m</w:t>
      </w:r>
      <w:r>
        <w:rPr>
          <w:rFonts w:cs="Arial"/>
          <w:szCs w:val="24"/>
          <w:lang w:eastAsia="ar-SA"/>
        </w:rPr>
        <w:t xml:space="preserve"> </w:t>
      </w:r>
      <w:r w:rsidR="000808DA">
        <w:rPr>
          <w:rFonts w:cs="Arial"/>
          <w:szCs w:val="24"/>
          <w:lang w:eastAsia="ar-SA"/>
        </w:rPr>
        <w:t>are</w:t>
      </w:r>
      <w:r>
        <w:rPr>
          <w:rFonts w:cs="Arial"/>
          <w:szCs w:val="24"/>
          <w:lang w:eastAsia="ar-SA"/>
        </w:rPr>
        <w:t xml:space="preserve"> detailed as follows:</w:t>
      </w:r>
    </w:p>
    <w:p w:rsidR="00A35B6E" w:rsidRPr="00A35B6E" w:rsidRDefault="00A35B6E" w:rsidP="00AA3B74">
      <w:pPr>
        <w:pStyle w:val="ListParagraph"/>
        <w:suppressAutoHyphens/>
        <w:spacing w:after="200" w:line="276" w:lineRule="auto"/>
        <w:ind w:left="360"/>
        <w:jc w:val="both"/>
        <w:rPr>
          <w:rFonts w:cs="Arial"/>
          <w:szCs w:val="24"/>
          <w:lang w:eastAsia="ar-SA"/>
        </w:rPr>
      </w:pPr>
    </w:p>
    <w:p w:rsidR="00A35B6E" w:rsidRPr="00A35B6E" w:rsidRDefault="00A35B6E" w:rsidP="00AA3B74">
      <w:pPr>
        <w:pStyle w:val="ListParagraph"/>
        <w:numPr>
          <w:ilvl w:val="0"/>
          <w:numId w:val="111"/>
        </w:numPr>
        <w:suppressAutoHyphens/>
        <w:spacing w:after="200" w:line="276" w:lineRule="auto"/>
        <w:jc w:val="both"/>
        <w:rPr>
          <w:rFonts w:cs="Arial"/>
          <w:szCs w:val="24"/>
          <w:lang w:eastAsia="ar-SA"/>
        </w:rPr>
      </w:pPr>
      <w:r w:rsidRPr="00A35B6E">
        <w:rPr>
          <w:rFonts w:cs="Arial"/>
          <w:szCs w:val="24"/>
          <w:lang w:eastAsia="ar-SA"/>
        </w:rPr>
        <w:t>Commissioning £0.187m – a delay in implementing the saving in 2017</w:t>
      </w:r>
      <w:r w:rsidR="000808DA">
        <w:rPr>
          <w:rFonts w:cs="Arial"/>
          <w:szCs w:val="24"/>
          <w:lang w:eastAsia="ar-SA"/>
        </w:rPr>
        <w:t>/</w:t>
      </w:r>
      <w:r w:rsidRPr="00A35B6E">
        <w:rPr>
          <w:rFonts w:cs="Arial"/>
          <w:szCs w:val="24"/>
          <w:lang w:eastAsia="ar-SA"/>
        </w:rPr>
        <w:t>18 resulted in a shortfall, however this has been implemented and the saving will be delivered in full in 2018/19.</w:t>
      </w:r>
    </w:p>
    <w:p w:rsidR="00A35B6E" w:rsidRPr="00A35B6E" w:rsidRDefault="00A35B6E" w:rsidP="00AA3B74">
      <w:pPr>
        <w:pStyle w:val="ListParagraph"/>
        <w:suppressAutoHyphens/>
        <w:spacing w:after="200" w:line="276" w:lineRule="auto"/>
        <w:ind w:left="360"/>
        <w:jc w:val="both"/>
        <w:rPr>
          <w:rFonts w:cs="Arial"/>
          <w:szCs w:val="24"/>
          <w:lang w:eastAsia="ar-SA"/>
        </w:rPr>
      </w:pPr>
    </w:p>
    <w:p w:rsidR="00A35B6E" w:rsidRPr="00A35B6E" w:rsidRDefault="00A35B6E" w:rsidP="00AA3B74">
      <w:pPr>
        <w:pStyle w:val="ListParagraph"/>
        <w:numPr>
          <w:ilvl w:val="0"/>
          <w:numId w:val="111"/>
        </w:numPr>
        <w:suppressAutoHyphens/>
        <w:spacing w:after="200" w:line="276" w:lineRule="auto"/>
        <w:jc w:val="both"/>
        <w:rPr>
          <w:rFonts w:cs="Arial"/>
          <w:szCs w:val="24"/>
          <w:lang w:eastAsia="ar-SA"/>
        </w:rPr>
      </w:pPr>
      <w:proofErr w:type="spellStart"/>
      <w:r w:rsidRPr="00A35B6E">
        <w:rPr>
          <w:rFonts w:cs="Arial"/>
          <w:szCs w:val="24"/>
          <w:lang w:eastAsia="ar-SA"/>
        </w:rPr>
        <w:t>Wiseworks</w:t>
      </w:r>
      <w:proofErr w:type="spellEnd"/>
      <w:r w:rsidRPr="00A35B6E">
        <w:rPr>
          <w:rFonts w:cs="Arial"/>
          <w:szCs w:val="24"/>
          <w:lang w:eastAsia="ar-SA"/>
        </w:rPr>
        <w:t xml:space="preserve"> £0.069m – the additional commercial income was not fully achieved in 2017/18 and the ongoing shortfall, and further MTFS savings will be mitigated in 2018/19.</w:t>
      </w:r>
    </w:p>
    <w:p w:rsidR="00A35B6E" w:rsidRPr="00A35B6E" w:rsidRDefault="00A35B6E" w:rsidP="00AA3B74">
      <w:pPr>
        <w:pStyle w:val="ListParagraph"/>
        <w:suppressAutoHyphens/>
        <w:spacing w:after="200" w:line="276" w:lineRule="auto"/>
        <w:ind w:left="360"/>
        <w:jc w:val="both"/>
        <w:rPr>
          <w:rFonts w:cs="Arial"/>
          <w:szCs w:val="24"/>
          <w:lang w:eastAsia="ar-SA"/>
        </w:rPr>
      </w:pPr>
    </w:p>
    <w:p w:rsidR="00A35B6E" w:rsidRPr="00A35B6E" w:rsidRDefault="00A35B6E" w:rsidP="00AA3B74">
      <w:pPr>
        <w:pStyle w:val="ListParagraph"/>
        <w:numPr>
          <w:ilvl w:val="0"/>
          <w:numId w:val="111"/>
        </w:numPr>
        <w:suppressAutoHyphens/>
        <w:spacing w:after="200" w:line="276" w:lineRule="auto"/>
        <w:jc w:val="both"/>
        <w:rPr>
          <w:rFonts w:cs="Arial"/>
          <w:szCs w:val="24"/>
          <w:lang w:eastAsia="ar-SA"/>
        </w:rPr>
      </w:pPr>
      <w:proofErr w:type="spellStart"/>
      <w:r w:rsidRPr="00A35B6E">
        <w:rPr>
          <w:rFonts w:cs="Arial"/>
          <w:szCs w:val="24"/>
          <w:lang w:eastAsia="ar-SA"/>
        </w:rPr>
        <w:t>M</w:t>
      </w:r>
      <w:r w:rsidR="000808DA">
        <w:rPr>
          <w:rFonts w:cs="Arial"/>
          <w:szCs w:val="24"/>
          <w:lang w:eastAsia="ar-SA"/>
        </w:rPr>
        <w:t>ilmans</w:t>
      </w:r>
      <w:proofErr w:type="spellEnd"/>
      <w:r w:rsidR="000808DA">
        <w:rPr>
          <w:rFonts w:cs="Arial"/>
          <w:szCs w:val="24"/>
          <w:lang w:eastAsia="ar-SA"/>
        </w:rPr>
        <w:t xml:space="preserve"> Community Tender £0.175m </w:t>
      </w:r>
      <w:r w:rsidRPr="00A35B6E">
        <w:rPr>
          <w:rFonts w:cs="Arial"/>
          <w:szCs w:val="24"/>
          <w:lang w:eastAsia="ar-SA"/>
        </w:rPr>
        <w:t>– the community model was unsuccessful.  These savings were mitigat</w:t>
      </w:r>
      <w:r w:rsidR="000808DA">
        <w:rPr>
          <w:rFonts w:cs="Arial"/>
          <w:szCs w:val="24"/>
          <w:lang w:eastAsia="ar-SA"/>
        </w:rPr>
        <w:t>ed in part during 2017/</w:t>
      </w:r>
      <w:r w:rsidRPr="00A35B6E">
        <w:rPr>
          <w:rFonts w:cs="Arial"/>
          <w:szCs w:val="24"/>
          <w:lang w:eastAsia="ar-SA"/>
        </w:rPr>
        <w:t xml:space="preserve">18 and there are plans to mitigate the 2018/19 MTFS savings through commercial rental income and maximisation </w:t>
      </w:r>
      <w:r w:rsidR="000808DA">
        <w:rPr>
          <w:rFonts w:cs="Arial"/>
          <w:szCs w:val="24"/>
          <w:lang w:eastAsia="ar-SA"/>
        </w:rPr>
        <w:t>of day centre occupancy in 2018/</w:t>
      </w:r>
      <w:r w:rsidRPr="00A35B6E">
        <w:rPr>
          <w:rFonts w:cs="Arial"/>
          <w:szCs w:val="24"/>
          <w:lang w:eastAsia="ar-SA"/>
        </w:rPr>
        <w:t xml:space="preserve">19 and beyond. </w:t>
      </w:r>
    </w:p>
    <w:p w:rsidR="00A35B6E" w:rsidRPr="00A35B6E" w:rsidRDefault="00A35B6E" w:rsidP="00AA3B74">
      <w:pPr>
        <w:pStyle w:val="ListParagraph"/>
        <w:suppressAutoHyphens/>
        <w:spacing w:after="200" w:line="276" w:lineRule="auto"/>
        <w:ind w:left="360"/>
        <w:jc w:val="both"/>
        <w:rPr>
          <w:rFonts w:cs="Arial"/>
          <w:szCs w:val="24"/>
          <w:lang w:eastAsia="ar-SA"/>
        </w:rPr>
      </w:pPr>
    </w:p>
    <w:p w:rsidR="00A35B6E" w:rsidRDefault="000808DA" w:rsidP="00AA3B74">
      <w:pPr>
        <w:pStyle w:val="ListParagraph"/>
        <w:numPr>
          <w:ilvl w:val="0"/>
          <w:numId w:val="111"/>
        </w:numPr>
        <w:suppressAutoHyphens/>
        <w:spacing w:after="200" w:line="276" w:lineRule="auto"/>
        <w:jc w:val="both"/>
        <w:rPr>
          <w:rFonts w:cs="Arial"/>
          <w:szCs w:val="24"/>
          <w:lang w:eastAsia="ar-SA"/>
        </w:rPr>
      </w:pPr>
      <w:proofErr w:type="spellStart"/>
      <w:r>
        <w:rPr>
          <w:rFonts w:cs="Arial"/>
          <w:szCs w:val="24"/>
          <w:lang w:eastAsia="ar-SA"/>
        </w:rPr>
        <w:t>Sancroft</w:t>
      </w:r>
      <w:proofErr w:type="spellEnd"/>
      <w:r>
        <w:rPr>
          <w:rFonts w:cs="Arial"/>
          <w:szCs w:val="24"/>
          <w:lang w:eastAsia="ar-SA"/>
        </w:rPr>
        <w:t xml:space="preserve"> savings of £0.334m -</w:t>
      </w:r>
      <w:r w:rsidR="00BE2DC6">
        <w:rPr>
          <w:rFonts w:cs="Arial"/>
          <w:szCs w:val="24"/>
          <w:lang w:eastAsia="ar-SA"/>
        </w:rPr>
        <w:t xml:space="preserve"> </w:t>
      </w:r>
      <w:r>
        <w:rPr>
          <w:rFonts w:cs="Arial"/>
          <w:szCs w:val="24"/>
          <w:lang w:eastAsia="ar-SA"/>
        </w:rPr>
        <w:t>t</w:t>
      </w:r>
      <w:r w:rsidR="00A35B6E" w:rsidRPr="00A35B6E">
        <w:rPr>
          <w:rFonts w:cs="Arial"/>
          <w:szCs w:val="24"/>
          <w:lang w:eastAsia="ar-SA"/>
        </w:rPr>
        <w:t xml:space="preserve">hese savings were superseded by a local authority trading company operating from </w:t>
      </w:r>
      <w:proofErr w:type="spellStart"/>
      <w:r w:rsidR="00A35B6E" w:rsidRPr="00A35B6E">
        <w:rPr>
          <w:rFonts w:cs="Arial"/>
          <w:szCs w:val="24"/>
          <w:lang w:eastAsia="ar-SA"/>
        </w:rPr>
        <w:t>Sancroft</w:t>
      </w:r>
      <w:proofErr w:type="spellEnd"/>
      <w:r w:rsidR="00A35B6E" w:rsidRPr="00A35B6E">
        <w:rPr>
          <w:rFonts w:cs="Arial"/>
          <w:szCs w:val="24"/>
          <w:lang w:eastAsia="ar-SA"/>
        </w:rPr>
        <w:t xml:space="preserve"> under project Phoenix.  The ongoing shortfall is expected to be mitigated in part by the extension of the building to enable increased LA placements at lower costs and potentially increased trading profits. </w:t>
      </w:r>
    </w:p>
    <w:p w:rsidR="00A35B6E" w:rsidRPr="00AE7967" w:rsidRDefault="00A35B6E" w:rsidP="00AA3B74">
      <w:pPr>
        <w:pStyle w:val="ListParagraph"/>
        <w:suppressAutoHyphens/>
        <w:spacing w:after="200" w:line="276" w:lineRule="auto"/>
        <w:ind w:left="1080"/>
        <w:jc w:val="both"/>
        <w:rPr>
          <w:rFonts w:cs="Arial"/>
          <w:szCs w:val="24"/>
          <w:lang w:eastAsia="ar-SA"/>
        </w:rPr>
      </w:pPr>
    </w:p>
    <w:p w:rsidR="00A35B6E" w:rsidRPr="00A35B6E" w:rsidRDefault="00A35B6E" w:rsidP="00AA3B74">
      <w:pPr>
        <w:pStyle w:val="ListParagraph"/>
        <w:numPr>
          <w:ilvl w:val="0"/>
          <w:numId w:val="111"/>
        </w:numPr>
        <w:suppressAutoHyphens/>
        <w:spacing w:after="200" w:line="276" w:lineRule="auto"/>
        <w:jc w:val="both"/>
        <w:rPr>
          <w:rFonts w:cs="Arial"/>
          <w:szCs w:val="24"/>
          <w:lang w:eastAsia="ar-SA"/>
        </w:rPr>
      </w:pPr>
      <w:r w:rsidRPr="00A35B6E">
        <w:rPr>
          <w:rFonts w:cs="Arial"/>
          <w:szCs w:val="24"/>
          <w:lang w:eastAsia="ar-SA"/>
        </w:rPr>
        <w:t xml:space="preserve">Transport £0.200m – savings anticipated to be delivered following the implementation of the community model which was unsuccessful with the savings realigned as part of the 2017/18 budget build.  Approved future year MTFS savings have been reversed as part of the 2018/19 approved budget.    </w:t>
      </w:r>
    </w:p>
    <w:p w:rsidR="00A35B6E" w:rsidRPr="00A35B6E" w:rsidRDefault="00A35B6E" w:rsidP="00AA3B74">
      <w:pPr>
        <w:pStyle w:val="ListParagraph"/>
        <w:suppressAutoHyphens/>
        <w:spacing w:after="200" w:line="276" w:lineRule="auto"/>
        <w:ind w:left="360"/>
        <w:jc w:val="both"/>
        <w:rPr>
          <w:rFonts w:cs="Arial"/>
          <w:szCs w:val="24"/>
          <w:lang w:eastAsia="ar-SA"/>
        </w:rPr>
      </w:pPr>
    </w:p>
    <w:p w:rsidR="00A35B6E" w:rsidRPr="00AA3B74" w:rsidRDefault="00A35B6E" w:rsidP="00AA3B74">
      <w:pPr>
        <w:pStyle w:val="ListParagraph"/>
        <w:numPr>
          <w:ilvl w:val="0"/>
          <w:numId w:val="111"/>
        </w:numPr>
        <w:suppressAutoHyphens/>
        <w:spacing w:after="200" w:line="276" w:lineRule="auto"/>
        <w:ind w:left="1134"/>
        <w:jc w:val="both"/>
        <w:rPr>
          <w:rFonts w:cs="Arial"/>
          <w:szCs w:val="24"/>
          <w:lang w:eastAsia="ar-SA"/>
        </w:rPr>
      </w:pPr>
      <w:r w:rsidRPr="00AA3B74">
        <w:rPr>
          <w:rFonts w:cs="Arial"/>
          <w:szCs w:val="24"/>
          <w:lang w:eastAsia="ar-SA"/>
        </w:rPr>
        <w:t>Shared Lives commercialisation through selling model to neighbouring borough of £0.150m – this level of commercial income could not be achieved, with the saving being realigned as part of the 2017/18 budget build on an ongoing basis</w:t>
      </w:r>
      <w:r w:rsidR="001A28B6" w:rsidRPr="00AA3B74">
        <w:rPr>
          <w:rFonts w:cs="Arial"/>
          <w:szCs w:val="24"/>
          <w:lang w:eastAsia="ar-SA"/>
        </w:rPr>
        <w:t>.</w:t>
      </w:r>
    </w:p>
    <w:p w:rsidR="00A35B6E" w:rsidRDefault="000808DA" w:rsidP="00AA3B74">
      <w:pPr>
        <w:pStyle w:val="ListParagraph"/>
        <w:numPr>
          <w:ilvl w:val="0"/>
          <w:numId w:val="111"/>
        </w:numPr>
        <w:suppressAutoHyphens/>
        <w:spacing w:after="200" w:line="276" w:lineRule="auto"/>
        <w:jc w:val="both"/>
        <w:rPr>
          <w:rFonts w:cs="Arial"/>
          <w:szCs w:val="24"/>
          <w:lang w:eastAsia="ar-SA"/>
        </w:rPr>
      </w:pPr>
      <w:r>
        <w:rPr>
          <w:rFonts w:cs="Arial"/>
          <w:szCs w:val="24"/>
          <w:lang w:eastAsia="ar-SA"/>
        </w:rPr>
        <w:t>Bedford House £0.250m - d</w:t>
      </w:r>
      <w:r w:rsidR="00A35B6E" w:rsidRPr="00A35B6E">
        <w:rPr>
          <w:rFonts w:cs="Arial"/>
          <w:szCs w:val="24"/>
          <w:lang w:eastAsia="ar-SA"/>
        </w:rPr>
        <w:t xml:space="preserve">elays in the planning, procurement and building process </w:t>
      </w:r>
      <w:r>
        <w:rPr>
          <w:rFonts w:cs="Arial"/>
          <w:szCs w:val="24"/>
          <w:lang w:eastAsia="ar-SA"/>
        </w:rPr>
        <w:t>resulted in a shortfall in 2017/</w:t>
      </w:r>
      <w:r w:rsidR="00A35B6E" w:rsidRPr="00A35B6E">
        <w:rPr>
          <w:rFonts w:cs="Arial"/>
          <w:szCs w:val="24"/>
          <w:lang w:eastAsia="ar-SA"/>
        </w:rPr>
        <w:t>18, however as the works have now been finalised these savings are expected to be fully delivered in 2018/19</w:t>
      </w:r>
      <w:r w:rsidR="00A35B6E">
        <w:rPr>
          <w:rFonts w:cs="Arial"/>
          <w:szCs w:val="24"/>
          <w:lang w:eastAsia="ar-SA"/>
        </w:rPr>
        <w:t>.</w:t>
      </w:r>
    </w:p>
    <w:p w:rsidR="000D51A7" w:rsidRPr="00DD7468" w:rsidRDefault="000D51A7" w:rsidP="00AA3B74">
      <w:pPr>
        <w:pStyle w:val="ListParagraph"/>
        <w:jc w:val="both"/>
        <w:rPr>
          <w:rFonts w:cs="Arial"/>
          <w:szCs w:val="24"/>
          <w:lang w:eastAsia="ar-SA"/>
        </w:rPr>
      </w:pPr>
    </w:p>
    <w:p w:rsidR="000D51A7" w:rsidRPr="00AA3B74" w:rsidRDefault="00A35B6E" w:rsidP="00AA3B74">
      <w:pPr>
        <w:pStyle w:val="ListParagraph"/>
        <w:numPr>
          <w:ilvl w:val="0"/>
          <w:numId w:val="128"/>
        </w:numPr>
        <w:suppressAutoHyphens/>
        <w:spacing w:after="200" w:line="276" w:lineRule="auto"/>
        <w:ind w:left="567" w:right="304" w:hanging="567"/>
        <w:jc w:val="both"/>
        <w:rPr>
          <w:rFonts w:cs="Arial"/>
          <w:b/>
        </w:rPr>
      </w:pPr>
      <w:r w:rsidRPr="00B23BC2">
        <w:rPr>
          <w:rFonts w:cs="Arial"/>
          <w:szCs w:val="24"/>
          <w:lang w:eastAsia="ar-SA"/>
        </w:rPr>
        <w:t xml:space="preserve">The </w:t>
      </w:r>
      <w:r w:rsidRPr="00B23BC2">
        <w:rPr>
          <w:rFonts w:cs="Arial"/>
          <w:b/>
          <w:szCs w:val="24"/>
          <w:lang w:eastAsia="ar-SA"/>
        </w:rPr>
        <w:t xml:space="preserve">Pan Organisation </w:t>
      </w:r>
      <w:r w:rsidR="000808DA">
        <w:rPr>
          <w:rFonts w:cs="Arial"/>
          <w:szCs w:val="24"/>
          <w:lang w:eastAsia="ar-SA"/>
        </w:rPr>
        <w:t>saving of £0.350m ha</w:t>
      </w:r>
      <w:r w:rsidR="00D74868">
        <w:rPr>
          <w:rFonts w:cs="Arial"/>
          <w:szCs w:val="24"/>
          <w:lang w:eastAsia="ar-SA"/>
        </w:rPr>
        <w:t>s</w:t>
      </w:r>
      <w:r w:rsidR="000808DA">
        <w:rPr>
          <w:rFonts w:cs="Arial"/>
          <w:szCs w:val="24"/>
          <w:lang w:eastAsia="ar-SA"/>
        </w:rPr>
        <w:t xml:space="preserve"> not been achieved, and</w:t>
      </w:r>
      <w:r w:rsidRPr="00B23BC2">
        <w:rPr>
          <w:rFonts w:cs="Arial"/>
          <w:szCs w:val="24"/>
          <w:lang w:eastAsia="ar-SA"/>
        </w:rPr>
        <w:t xml:space="preserve"> has been reversed out </w:t>
      </w:r>
      <w:r w:rsidR="000808DA">
        <w:rPr>
          <w:rFonts w:cs="Arial"/>
          <w:szCs w:val="24"/>
          <w:lang w:eastAsia="ar-SA"/>
        </w:rPr>
        <w:t>of the MTFS.</w:t>
      </w:r>
    </w:p>
    <w:p w:rsidR="00125502" w:rsidRDefault="00125502">
      <w:pPr>
        <w:ind w:right="304" w:firstLine="360"/>
        <w:jc w:val="both"/>
        <w:rPr>
          <w:rFonts w:cs="Arial"/>
          <w:b/>
        </w:rPr>
      </w:pPr>
      <w:r>
        <w:rPr>
          <w:rFonts w:cs="Arial"/>
          <w:b/>
        </w:rPr>
        <w:t>Analysis of the Amber Savings</w:t>
      </w:r>
    </w:p>
    <w:p w:rsidR="00C36877" w:rsidRDefault="00C36877">
      <w:pPr>
        <w:ind w:right="304" w:firstLine="360"/>
        <w:jc w:val="both"/>
        <w:rPr>
          <w:rFonts w:cs="Arial"/>
          <w:b/>
        </w:rPr>
      </w:pPr>
    </w:p>
    <w:p w:rsidR="00125502" w:rsidRDefault="00125502" w:rsidP="00AA3B74">
      <w:pPr>
        <w:pStyle w:val="ListParagraph"/>
        <w:numPr>
          <w:ilvl w:val="0"/>
          <w:numId w:val="128"/>
        </w:numPr>
        <w:ind w:left="567" w:right="304" w:hanging="567"/>
        <w:jc w:val="both"/>
        <w:rPr>
          <w:rFonts w:cs="Arial"/>
        </w:rPr>
      </w:pPr>
      <w:r w:rsidRPr="00CB5149">
        <w:rPr>
          <w:rFonts w:cs="Arial"/>
        </w:rPr>
        <w:t xml:space="preserve">The amber rating </w:t>
      </w:r>
      <w:r w:rsidRPr="0009372D">
        <w:rPr>
          <w:rFonts w:cs="Arial"/>
        </w:rPr>
        <w:t xml:space="preserve">indicates </w:t>
      </w:r>
      <w:r w:rsidRPr="001C1D1B">
        <w:rPr>
          <w:rFonts w:cs="Arial"/>
        </w:rPr>
        <w:t>that</w:t>
      </w:r>
      <w:r w:rsidRPr="00BD437B">
        <w:rPr>
          <w:rFonts w:cs="Arial"/>
        </w:rPr>
        <w:t xml:space="preserve"> a</w:t>
      </w:r>
      <w:r w:rsidRPr="00281EA0">
        <w:rPr>
          <w:rFonts w:cs="Arial"/>
        </w:rPr>
        <w:t xml:space="preserve"> saving was partially achieved in the y</w:t>
      </w:r>
      <w:r w:rsidRPr="00BB3658">
        <w:rPr>
          <w:rFonts w:cs="Arial"/>
        </w:rPr>
        <w:t>ear but not fully</w:t>
      </w:r>
      <w:r w:rsidRPr="00D93869">
        <w:rPr>
          <w:rFonts w:cs="Arial"/>
        </w:rPr>
        <w:t xml:space="preserve"> achieved</w:t>
      </w:r>
      <w:r w:rsidR="00D74868">
        <w:rPr>
          <w:rFonts w:cs="Arial"/>
        </w:rPr>
        <w:t>. T</w:t>
      </w:r>
      <w:r w:rsidRPr="00D93056">
        <w:rPr>
          <w:rFonts w:cs="Arial"/>
        </w:rPr>
        <w:t>he £</w:t>
      </w:r>
      <w:r w:rsidR="000808DA">
        <w:rPr>
          <w:rFonts w:cs="Arial"/>
        </w:rPr>
        <w:t>1.329</w:t>
      </w:r>
      <w:r w:rsidRPr="001C1D1B">
        <w:rPr>
          <w:rFonts w:cs="Arial"/>
        </w:rPr>
        <w:t xml:space="preserve">m of </w:t>
      </w:r>
      <w:r w:rsidRPr="00BD437B">
        <w:rPr>
          <w:rFonts w:cs="Arial"/>
        </w:rPr>
        <w:t>amber savings</w:t>
      </w:r>
      <w:r>
        <w:rPr>
          <w:rFonts w:cs="Arial"/>
        </w:rPr>
        <w:t xml:space="preserve"> (in Table 4</w:t>
      </w:r>
      <w:r w:rsidR="005314CD">
        <w:rPr>
          <w:rFonts w:cs="Arial"/>
        </w:rPr>
        <w:t xml:space="preserve">) </w:t>
      </w:r>
      <w:r w:rsidR="005314CD" w:rsidRPr="001C1D1B">
        <w:rPr>
          <w:rFonts w:cs="Arial"/>
        </w:rPr>
        <w:t>have</w:t>
      </w:r>
      <w:r w:rsidRPr="001C1D1B">
        <w:rPr>
          <w:rFonts w:cs="Arial"/>
        </w:rPr>
        <w:t xml:space="preserve"> been further analysed </w:t>
      </w:r>
      <w:r w:rsidR="00D74868">
        <w:rPr>
          <w:rFonts w:cs="Arial"/>
        </w:rPr>
        <w:t>to show how much was achieved (green) and the amount of unachieved savings (Red).</w:t>
      </w:r>
    </w:p>
    <w:p w:rsidR="00276D51" w:rsidRDefault="00276D51" w:rsidP="00AA3B74">
      <w:pPr>
        <w:pStyle w:val="ListParagraph"/>
        <w:ind w:left="792" w:right="304"/>
        <w:jc w:val="both"/>
        <w:rPr>
          <w:rFonts w:cs="Arial"/>
        </w:rPr>
      </w:pPr>
    </w:p>
    <w:p w:rsidR="00276D51" w:rsidRPr="00AA3B74" w:rsidRDefault="00DB3CEF" w:rsidP="00AA3B74">
      <w:pPr>
        <w:ind w:right="304"/>
        <w:jc w:val="both"/>
        <w:rPr>
          <w:rFonts w:cs="Arial"/>
          <w:b/>
          <w:u w:val="single"/>
        </w:rPr>
      </w:pPr>
      <w:r>
        <w:rPr>
          <w:rFonts w:cs="Arial"/>
        </w:rPr>
        <w:t xml:space="preserve">     </w:t>
      </w:r>
      <w:r w:rsidR="00276D51" w:rsidRPr="00AA3B74">
        <w:rPr>
          <w:rFonts w:cs="Arial"/>
          <w:b/>
          <w:u w:val="single"/>
        </w:rPr>
        <w:t>Table 5: Analysis of 2017/18 Amber Savings</w:t>
      </w:r>
    </w:p>
    <w:p w:rsidR="00125502" w:rsidRDefault="00D70251" w:rsidP="00AA3B74">
      <w:pPr>
        <w:pStyle w:val="ListParagraph"/>
        <w:ind w:left="360" w:right="304"/>
        <w:jc w:val="both"/>
        <w:rPr>
          <w:rFonts w:cs="Arial"/>
        </w:rPr>
      </w:pPr>
      <w:r w:rsidRPr="00D70251">
        <w:rPr>
          <w:noProof/>
          <w:lang w:eastAsia="en-GB"/>
        </w:rPr>
        <w:drawing>
          <wp:inline distT="0" distB="0" distL="0" distR="0" wp14:anchorId="3061CB4D" wp14:editId="32C12057">
            <wp:extent cx="3605530" cy="14179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5530" cy="1417955"/>
                    </a:xfrm>
                    <a:prstGeom prst="rect">
                      <a:avLst/>
                    </a:prstGeom>
                    <a:noFill/>
                    <a:ln>
                      <a:noFill/>
                    </a:ln>
                  </pic:spPr>
                </pic:pic>
              </a:graphicData>
            </a:graphic>
          </wp:inline>
        </w:drawing>
      </w:r>
    </w:p>
    <w:p w:rsidR="00BD47C5" w:rsidRDefault="00BD47C5" w:rsidP="00AA3B74">
      <w:pPr>
        <w:pStyle w:val="ListParagraph"/>
        <w:ind w:left="360" w:right="304"/>
        <w:jc w:val="both"/>
        <w:rPr>
          <w:rFonts w:cs="Arial"/>
        </w:rPr>
      </w:pPr>
    </w:p>
    <w:p w:rsidR="00BD47C5" w:rsidRDefault="000940C6" w:rsidP="00AA3B74">
      <w:pPr>
        <w:pStyle w:val="ListParagraph"/>
        <w:numPr>
          <w:ilvl w:val="0"/>
          <w:numId w:val="128"/>
        </w:numPr>
        <w:ind w:left="567" w:right="304" w:hanging="567"/>
        <w:jc w:val="both"/>
        <w:rPr>
          <w:rFonts w:cs="Arial"/>
        </w:rPr>
      </w:pPr>
      <w:r>
        <w:rPr>
          <w:rFonts w:cs="Arial"/>
          <w:b/>
        </w:rPr>
        <w:t xml:space="preserve">Community </w:t>
      </w:r>
      <w:r w:rsidRPr="00AA3B74">
        <w:rPr>
          <w:rFonts w:cs="Arial"/>
        </w:rPr>
        <w:t xml:space="preserve">- </w:t>
      </w:r>
      <w:r w:rsidR="00BD47C5" w:rsidRPr="00CB5149">
        <w:rPr>
          <w:rFonts w:cs="Arial"/>
          <w:b/>
        </w:rPr>
        <w:t xml:space="preserve"> </w:t>
      </w:r>
      <w:r w:rsidR="00BD47C5" w:rsidRPr="000A566F">
        <w:rPr>
          <w:rFonts w:cs="Arial"/>
        </w:rPr>
        <w:t>of the £</w:t>
      </w:r>
      <w:r w:rsidR="00BD47C5">
        <w:rPr>
          <w:rFonts w:cs="Arial"/>
        </w:rPr>
        <w:t>0.909</w:t>
      </w:r>
      <w:r w:rsidR="00BD47C5" w:rsidRPr="000A566F">
        <w:rPr>
          <w:rFonts w:cs="Arial"/>
        </w:rPr>
        <w:t>m of amber savings, £</w:t>
      </w:r>
      <w:r w:rsidR="00BD47C5">
        <w:rPr>
          <w:rFonts w:cs="Arial"/>
        </w:rPr>
        <w:t>0.571</w:t>
      </w:r>
      <w:r w:rsidR="00BD47C5" w:rsidRPr="000A566F">
        <w:rPr>
          <w:rFonts w:cs="Arial"/>
        </w:rPr>
        <w:t>m were not achieved in year as follows:</w:t>
      </w:r>
    </w:p>
    <w:p w:rsidR="00BD47C5" w:rsidRPr="005372F9" w:rsidRDefault="00BD47C5" w:rsidP="00AA3B74">
      <w:pPr>
        <w:pStyle w:val="ListParagraph"/>
        <w:jc w:val="both"/>
        <w:rPr>
          <w:rFonts w:cs="Arial"/>
          <w:highlight w:val="yellow"/>
        </w:rPr>
      </w:pPr>
    </w:p>
    <w:p w:rsidR="00BD47C5" w:rsidRDefault="00BD47C5">
      <w:pPr>
        <w:pStyle w:val="ListParagraph"/>
        <w:numPr>
          <w:ilvl w:val="1"/>
          <w:numId w:val="65"/>
        </w:numPr>
        <w:jc w:val="both"/>
        <w:rPr>
          <w:rFonts w:cs="Arial"/>
        </w:rPr>
      </w:pPr>
      <w:r w:rsidRPr="004E7384">
        <w:rPr>
          <w:rFonts w:cs="Arial"/>
        </w:rPr>
        <w:t>Of the £0.108m Library Strategy Phase 2 saving, £0.058m was not achieved, this relates to the re-provision</w:t>
      </w:r>
      <w:r>
        <w:rPr>
          <w:rFonts w:cs="Arial"/>
        </w:rPr>
        <w:t xml:space="preserve"> and </w:t>
      </w:r>
      <w:r w:rsidRPr="004E7384">
        <w:rPr>
          <w:rFonts w:cs="Arial"/>
        </w:rPr>
        <w:t xml:space="preserve">commercialisation of libraries, which is delayed. </w:t>
      </w:r>
      <w:r w:rsidR="00D74868">
        <w:rPr>
          <w:rFonts w:cs="Arial"/>
        </w:rPr>
        <w:t>The 20</w:t>
      </w:r>
      <w:r w:rsidRPr="004E7384">
        <w:rPr>
          <w:rFonts w:cs="Arial"/>
        </w:rPr>
        <w:t xml:space="preserve">18/19 saving is to be re-profiled to align with the timescale of the re-provision of Central Library, as part of </w:t>
      </w:r>
      <w:r w:rsidR="00D74868">
        <w:rPr>
          <w:rFonts w:cs="Arial"/>
        </w:rPr>
        <w:t>20</w:t>
      </w:r>
      <w:r w:rsidRPr="004E7384">
        <w:rPr>
          <w:rFonts w:cs="Arial"/>
        </w:rPr>
        <w:t>18/19 MTFS.</w:t>
      </w:r>
    </w:p>
    <w:p w:rsidR="00BD47C5" w:rsidRDefault="00BD47C5">
      <w:pPr>
        <w:pStyle w:val="ListParagraph"/>
        <w:ind w:left="1440"/>
        <w:jc w:val="both"/>
        <w:rPr>
          <w:rFonts w:cs="Arial"/>
        </w:rPr>
      </w:pPr>
    </w:p>
    <w:p w:rsidR="00BD47C5" w:rsidRDefault="00BD47C5">
      <w:pPr>
        <w:pStyle w:val="ListParagraph"/>
        <w:numPr>
          <w:ilvl w:val="1"/>
          <w:numId w:val="65"/>
        </w:numPr>
        <w:jc w:val="both"/>
        <w:rPr>
          <w:rFonts w:cs="Arial"/>
        </w:rPr>
      </w:pPr>
      <w:r>
        <w:rPr>
          <w:rFonts w:cs="Arial"/>
        </w:rPr>
        <w:t>In Housing, of the Property Purchase Initiative (100 Homes) savings of £0.801</w:t>
      </w:r>
      <w:r w:rsidR="0070426A">
        <w:rPr>
          <w:rFonts w:cs="Arial"/>
        </w:rPr>
        <w:t>m, £0.513m will not be achieved and this has</w:t>
      </w:r>
      <w:r>
        <w:rPr>
          <w:rFonts w:cs="Arial"/>
        </w:rPr>
        <w:t xml:space="preserve"> been reversed as part of the 2018/19 budget setting. </w:t>
      </w:r>
    </w:p>
    <w:p w:rsidR="000808DA" w:rsidRPr="0038627D" w:rsidRDefault="000808DA" w:rsidP="00AA3B74">
      <w:pPr>
        <w:pStyle w:val="ListParagraph"/>
        <w:jc w:val="both"/>
        <w:rPr>
          <w:rFonts w:cs="Arial"/>
        </w:rPr>
      </w:pPr>
    </w:p>
    <w:p w:rsidR="000808DA" w:rsidRPr="000940C6" w:rsidRDefault="000940C6" w:rsidP="00AA3B74">
      <w:pPr>
        <w:pStyle w:val="ListParagraph"/>
        <w:numPr>
          <w:ilvl w:val="0"/>
          <w:numId w:val="128"/>
        </w:numPr>
        <w:ind w:left="567" w:right="304" w:hanging="567"/>
        <w:jc w:val="both"/>
        <w:rPr>
          <w:rFonts w:cs="Arial"/>
        </w:rPr>
      </w:pPr>
      <w:r>
        <w:rPr>
          <w:rFonts w:cs="Arial"/>
          <w:b/>
        </w:rPr>
        <w:t>Adult</w:t>
      </w:r>
      <w:r w:rsidR="00D74868">
        <w:rPr>
          <w:rFonts w:cs="Arial"/>
          <w:b/>
        </w:rPr>
        <w:t>s</w:t>
      </w:r>
      <w:r>
        <w:rPr>
          <w:rFonts w:cs="Arial"/>
          <w:b/>
        </w:rPr>
        <w:t xml:space="preserve"> </w:t>
      </w:r>
      <w:r w:rsidR="00B25E8F">
        <w:rPr>
          <w:rFonts w:cs="Arial"/>
        </w:rPr>
        <w:t>-</w:t>
      </w:r>
      <w:r>
        <w:rPr>
          <w:rFonts w:cs="Arial"/>
          <w:b/>
        </w:rPr>
        <w:t xml:space="preserve"> </w:t>
      </w:r>
      <w:r w:rsidR="00C354A4">
        <w:rPr>
          <w:rFonts w:cs="Arial"/>
        </w:rPr>
        <w:t>O</w:t>
      </w:r>
      <w:r w:rsidRPr="00AA3B74">
        <w:rPr>
          <w:rFonts w:cs="Arial"/>
        </w:rPr>
        <w:t>f the</w:t>
      </w:r>
      <w:r>
        <w:rPr>
          <w:rFonts w:cs="Arial"/>
          <w:b/>
        </w:rPr>
        <w:t xml:space="preserve"> </w:t>
      </w:r>
      <w:r w:rsidRPr="00AA3B74">
        <w:rPr>
          <w:rFonts w:cs="Arial"/>
        </w:rPr>
        <w:t>£0.420m</w:t>
      </w:r>
      <w:r>
        <w:rPr>
          <w:rFonts w:cs="Arial"/>
        </w:rPr>
        <w:t xml:space="preserve"> Voluntary sector saving, </w:t>
      </w:r>
      <w:r w:rsidR="000808DA" w:rsidRPr="000940C6">
        <w:rPr>
          <w:rFonts w:cs="Arial"/>
        </w:rPr>
        <w:t>£0.</w:t>
      </w:r>
      <w:r w:rsidRPr="000940C6">
        <w:rPr>
          <w:rFonts w:cs="Arial"/>
        </w:rPr>
        <w:t>035</w:t>
      </w:r>
      <w:r w:rsidR="00D74868">
        <w:rPr>
          <w:rFonts w:cs="Arial"/>
        </w:rPr>
        <w:t>m was</w:t>
      </w:r>
      <w:r w:rsidR="000808DA" w:rsidRPr="000940C6">
        <w:rPr>
          <w:rFonts w:cs="Arial"/>
        </w:rPr>
        <w:t xml:space="preserve"> not achieved</w:t>
      </w:r>
      <w:r>
        <w:rPr>
          <w:rFonts w:cs="Arial"/>
        </w:rPr>
        <w:t xml:space="preserve"> due to </w:t>
      </w:r>
      <w:r w:rsidRPr="000940C6">
        <w:rPr>
          <w:rFonts w:cs="Arial"/>
        </w:rPr>
        <w:t>a month delay in implementing the cessation of voluntary sector contracts</w:t>
      </w:r>
      <w:proofErr w:type="gramStart"/>
      <w:r>
        <w:rPr>
          <w:rFonts w:cs="Arial"/>
        </w:rPr>
        <w:t xml:space="preserve">, </w:t>
      </w:r>
      <w:r w:rsidRPr="000940C6">
        <w:rPr>
          <w:rFonts w:cs="Arial"/>
        </w:rPr>
        <w:t xml:space="preserve"> however</w:t>
      </w:r>
      <w:proofErr w:type="gramEnd"/>
      <w:r w:rsidRPr="000940C6">
        <w:rPr>
          <w:rFonts w:cs="Arial"/>
        </w:rPr>
        <w:t xml:space="preserve"> the saving will be delivered in full in 2018/19</w:t>
      </w:r>
      <w:r w:rsidR="00591F96">
        <w:rPr>
          <w:rFonts w:cs="Arial"/>
        </w:rPr>
        <w:t>.</w:t>
      </w:r>
    </w:p>
    <w:p w:rsidR="000808DA" w:rsidRDefault="000808DA" w:rsidP="00AA3B74">
      <w:pPr>
        <w:pStyle w:val="ListParagraph"/>
        <w:ind w:left="1440" w:right="304"/>
        <w:jc w:val="both"/>
        <w:rPr>
          <w:rFonts w:cs="Arial"/>
        </w:rPr>
      </w:pPr>
    </w:p>
    <w:p w:rsidR="000D51A7" w:rsidRDefault="000D51A7" w:rsidP="00AA3B74">
      <w:pPr>
        <w:ind w:right="304"/>
        <w:jc w:val="both"/>
        <w:rPr>
          <w:rFonts w:cs="Arial"/>
          <w:b/>
        </w:rPr>
      </w:pPr>
    </w:p>
    <w:p w:rsidR="00BD47C5" w:rsidRPr="006F766E" w:rsidRDefault="00BD47C5" w:rsidP="00AA3B74">
      <w:pPr>
        <w:ind w:right="304"/>
        <w:jc w:val="both"/>
        <w:rPr>
          <w:rFonts w:cs="Arial"/>
          <w:b/>
        </w:rPr>
      </w:pPr>
      <w:r w:rsidRPr="005C574E">
        <w:rPr>
          <w:rFonts w:cs="Arial"/>
          <w:b/>
        </w:rPr>
        <w:t>HOUSING REVENUE ACCOUNT (HRA)</w:t>
      </w:r>
    </w:p>
    <w:p w:rsidR="00BD47C5" w:rsidRPr="005C574E" w:rsidRDefault="00BD47C5">
      <w:pPr>
        <w:ind w:right="304"/>
        <w:jc w:val="both"/>
        <w:rPr>
          <w:rFonts w:cs="Arial"/>
          <w:b/>
        </w:rPr>
      </w:pPr>
    </w:p>
    <w:p w:rsidR="00BD47C5" w:rsidRDefault="00C60258" w:rsidP="00AA3B74">
      <w:pPr>
        <w:pStyle w:val="ListParagraph"/>
        <w:numPr>
          <w:ilvl w:val="0"/>
          <w:numId w:val="128"/>
        </w:numPr>
        <w:ind w:left="567" w:hanging="567"/>
        <w:jc w:val="both"/>
        <w:rPr>
          <w:rFonts w:cs="Arial"/>
        </w:rPr>
      </w:pPr>
      <w:r w:rsidRPr="00AA3B74">
        <w:rPr>
          <w:rFonts w:cs="Arial"/>
        </w:rPr>
        <w:t>Results for the HRA show a surplus of £1.082m against a budgeted deficit of £1,488k, £0.500m of this surplus has been transferred in to a new HRA Transformation Reserve which will be set aside to support redundancy and restructuring costs to ensure full achievement of cost reductions required in the HRA Business Plan. This results in a surplus of £0.582m. The surplus has arise mainly as a result of £0.880m planned cost reductions in repairs and estate services as well as unplanned underspends including recharges from General Fund for grounds maintenance, utilities, and bad debt provisions.</w:t>
      </w:r>
    </w:p>
    <w:p w:rsidR="006752E8" w:rsidRDefault="006752E8" w:rsidP="00646C8B">
      <w:pPr>
        <w:pStyle w:val="ListParagraph"/>
        <w:ind w:left="567"/>
        <w:jc w:val="both"/>
        <w:rPr>
          <w:rFonts w:cs="Arial"/>
        </w:rPr>
      </w:pPr>
    </w:p>
    <w:p w:rsidR="00C60258" w:rsidRPr="00AA3B74" w:rsidRDefault="00C60258" w:rsidP="00AA3B74">
      <w:pPr>
        <w:pStyle w:val="ListParagraph"/>
        <w:ind w:left="567"/>
        <w:jc w:val="both"/>
        <w:rPr>
          <w:rFonts w:cs="Arial"/>
        </w:rPr>
      </w:pPr>
    </w:p>
    <w:p w:rsidR="00C60258" w:rsidRDefault="00C60258" w:rsidP="00AA3B74">
      <w:pPr>
        <w:pStyle w:val="ListParagraph"/>
        <w:numPr>
          <w:ilvl w:val="0"/>
          <w:numId w:val="128"/>
        </w:numPr>
        <w:ind w:left="567" w:hanging="567"/>
        <w:jc w:val="both"/>
        <w:rPr>
          <w:rFonts w:cs="Arial"/>
        </w:rPr>
      </w:pPr>
      <w:r w:rsidRPr="00AA3B74">
        <w:rPr>
          <w:rFonts w:cs="Arial"/>
        </w:rPr>
        <w:t>A summary of the HRA position is set out in table 6 below.</w:t>
      </w:r>
    </w:p>
    <w:p w:rsidR="00164199" w:rsidRDefault="00164199" w:rsidP="00AA3B74">
      <w:pPr>
        <w:rPr>
          <w:rFonts w:cs="Arial"/>
        </w:rPr>
      </w:pPr>
      <w:r>
        <w:rPr>
          <w:rFonts w:cs="Arial"/>
        </w:rPr>
        <w:t xml:space="preserve">    </w:t>
      </w:r>
    </w:p>
    <w:p w:rsidR="00C60258" w:rsidRPr="00AA3B74" w:rsidRDefault="00164199" w:rsidP="00AA3B74">
      <w:pPr>
        <w:rPr>
          <w:rFonts w:cs="Arial"/>
          <w:b/>
          <w:u w:val="single"/>
        </w:rPr>
      </w:pPr>
      <w:r>
        <w:rPr>
          <w:rFonts w:cs="Arial"/>
        </w:rPr>
        <w:t xml:space="preserve">    </w:t>
      </w:r>
      <w:proofErr w:type="spellStart"/>
      <w:r w:rsidRPr="00AA3B74">
        <w:rPr>
          <w:rFonts w:cs="Arial"/>
          <w:b/>
          <w:u w:val="single"/>
        </w:rPr>
        <w:t>Tabel</w:t>
      </w:r>
      <w:proofErr w:type="spellEnd"/>
      <w:r w:rsidRPr="00AA3B74">
        <w:rPr>
          <w:rFonts w:cs="Arial"/>
          <w:b/>
          <w:u w:val="single"/>
        </w:rPr>
        <w:t xml:space="preserve"> 6: </w:t>
      </w:r>
      <w:proofErr w:type="gramStart"/>
      <w:r w:rsidRPr="00AA3B74">
        <w:rPr>
          <w:rFonts w:cs="Arial"/>
          <w:b/>
          <w:u w:val="single"/>
        </w:rPr>
        <w:t>Summary  of</w:t>
      </w:r>
      <w:proofErr w:type="gramEnd"/>
      <w:r w:rsidRPr="00AA3B74">
        <w:rPr>
          <w:rFonts w:cs="Arial"/>
          <w:b/>
          <w:u w:val="single"/>
        </w:rPr>
        <w:t xml:space="preserve"> HRA Position</w:t>
      </w:r>
    </w:p>
    <w:tbl>
      <w:tblPr>
        <w:tblW w:w="7641" w:type="dxa"/>
        <w:tblInd w:w="405" w:type="dxa"/>
        <w:tblLayout w:type="fixed"/>
        <w:tblCellMar>
          <w:left w:w="0" w:type="dxa"/>
          <w:right w:w="0" w:type="dxa"/>
        </w:tblCellMar>
        <w:tblLook w:val="04A0" w:firstRow="1" w:lastRow="0" w:firstColumn="1" w:lastColumn="0" w:noHBand="0" w:noVBand="1"/>
      </w:tblPr>
      <w:tblGrid>
        <w:gridCol w:w="2680"/>
        <w:gridCol w:w="1418"/>
        <w:gridCol w:w="1275"/>
        <w:gridCol w:w="1134"/>
        <w:gridCol w:w="1134"/>
      </w:tblGrid>
      <w:tr w:rsidR="00164199" w:rsidRPr="00C60258" w:rsidTr="00A37874">
        <w:trPr>
          <w:trHeight w:val="705"/>
        </w:trPr>
        <w:tc>
          <w:tcPr>
            <w:tcW w:w="268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60258" w:rsidRPr="00C60258" w:rsidRDefault="00C60258" w:rsidP="00C60258">
            <w:pPr>
              <w:rPr>
                <w:rFonts w:cs="Arial"/>
                <w:b/>
                <w:bCs/>
                <w:szCs w:val="24"/>
              </w:rPr>
            </w:pPr>
            <w:r w:rsidRPr="00C60258">
              <w:rPr>
                <w:rFonts w:cs="Arial"/>
                <w:b/>
                <w:bCs/>
                <w:sz w:val="22"/>
                <w:szCs w:val="22"/>
                <w:lang w:eastAsia="en-GB"/>
              </w:rPr>
              <w:t>HRA revenue balances £'000</w:t>
            </w:r>
          </w:p>
        </w:tc>
        <w:tc>
          <w:tcPr>
            <w:tcW w:w="141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60258" w:rsidRPr="00C60258" w:rsidRDefault="00C60258" w:rsidP="00C60258">
            <w:pPr>
              <w:jc w:val="right"/>
              <w:rPr>
                <w:rFonts w:cs="Arial"/>
                <w:b/>
                <w:bCs/>
                <w:szCs w:val="24"/>
              </w:rPr>
            </w:pPr>
            <w:r w:rsidRPr="00C60258">
              <w:rPr>
                <w:rFonts w:cs="Arial"/>
                <w:b/>
                <w:bCs/>
                <w:sz w:val="22"/>
                <w:szCs w:val="22"/>
                <w:lang w:eastAsia="en-GB"/>
              </w:rPr>
              <w:t>Outturn 2016-17</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0258" w:rsidRPr="00C60258" w:rsidRDefault="00C60258" w:rsidP="00C60258">
            <w:pPr>
              <w:jc w:val="right"/>
              <w:rPr>
                <w:rFonts w:cs="Arial"/>
                <w:b/>
                <w:bCs/>
                <w:szCs w:val="24"/>
              </w:rPr>
            </w:pPr>
            <w:r w:rsidRPr="00C60258">
              <w:rPr>
                <w:rFonts w:cs="Arial"/>
                <w:b/>
                <w:bCs/>
                <w:sz w:val="22"/>
                <w:szCs w:val="22"/>
                <w:lang w:eastAsia="en-GB"/>
              </w:rPr>
              <w:t>Revised Budget</w:t>
            </w:r>
          </w:p>
        </w:tc>
        <w:tc>
          <w:tcPr>
            <w:tcW w:w="113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60258" w:rsidRDefault="00C60258" w:rsidP="00C60258">
            <w:pPr>
              <w:jc w:val="right"/>
              <w:rPr>
                <w:rFonts w:cs="Arial"/>
                <w:b/>
                <w:bCs/>
                <w:sz w:val="22"/>
                <w:szCs w:val="22"/>
                <w:lang w:eastAsia="en-GB"/>
              </w:rPr>
            </w:pPr>
            <w:r w:rsidRPr="00C60258">
              <w:rPr>
                <w:rFonts w:cs="Arial"/>
                <w:b/>
                <w:bCs/>
                <w:sz w:val="22"/>
                <w:szCs w:val="22"/>
                <w:lang w:eastAsia="en-GB"/>
              </w:rPr>
              <w:t>Outturn</w:t>
            </w:r>
          </w:p>
          <w:p w:rsidR="007B1C2D" w:rsidRPr="00C60258" w:rsidRDefault="007B1C2D" w:rsidP="00C60258">
            <w:pPr>
              <w:jc w:val="right"/>
              <w:rPr>
                <w:rFonts w:cs="Arial"/>
                <w:b/>
                <w:bCs/>
                <w:szCs w:val="24"/>
              </w:rPr>
            </w:pPr>
            <w:r>
              <w:rPr>
                <w:rFonts w:cs="Arial"/>
                <w:b/>
                <w:bCs/>
                <w:sz w:val="22"/>
                <w:szCs w:val="22"/>
                <w:lang w:eastAsia="en-GB"/>
              </w:rPr>
              <w:t>2017-18</w:t>
            </w:r>
          </w:p>
        </w:tc>
        <w:tc>
          <w:tcPr>
            <w:tcW w:w="113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60258" w:rsidRPr="00C60258" w:rsidRDefault="00C60258" w:rsidP="00C60258">
            <w:pPr>
              <w:jc w:val="right"/>
              <w:rPr>
                <w:rFonts w:cs="Arial"/>
                <w:b/>
                <w:bCs/>
                <w:szCs w:val="24"/>
              </w:rPr>
            </w:pPr>
            <w:r w:rsidRPr="00C60258">
              <w:rPr>
                <w:rFonts w:cs="Arial"/>
                <w:b/>
                <w:bCs/>
                <w:sz w:val="22"/>
                <w:szCs w:val="22"/>
                <w:lang w:eastAsia="en-GB"/>
              </w:rPr>
              <w:t>Variance</w:t>
            </w:r>
          </w:p>
        </w:tc>
      </w:tr>
      <w:tr w:rsidR="00164199" w:rsidRPr="00C60258" w:rsidTr="00A37874">
        <w:trPr>
          <w:trHeight w:val="630"/>
        </w:trPr>
        <w:tc>
          <w:tcPr>
            <w:tcW w:w="2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0258" w:rsidRPr="00C60258" w:rsidRDefault="00C60258" w:rsidP="00C60258">
            <w:pPr>
              <w:rPr>
                <w:rFonts w:cs="Arial"/>
                <w:szCs w:val="24"/>
              </w:rPr>
            </w:pPr>
            <w:r w:rsidRPr="00C60258">
              <w:rPr>
                <w:rFonts w:cs="Arial"/>
                <w:sz w:val="22"/>
                <w:szCs w:val="22"/>
                <w:lang w:eastAsia="en-GB"/>
              </w:rPr>
              <w:t>Balance b/</w:t>
            </w:r>
            <w:proofErr w:type="spellStart"/>
            <w:r w:rsidRPr="00C60258">
              <w:rPr>
                <w:rFonts w:cs="Arial"/>
                <w:sz w:val="22"/>
                <w:szCs w:val="22"/>
                <w:lang w:eastAsia="en-GB"/>
              </w:rPr>
              <w:t>fwd</w:t>
            </w:r>
            <w:proofErr w:type="spellEnd"/>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0258" w:rsidRPr="00C60258" w:rsidRDefault="00C60258" w:rsidP="00C60258">
            <w:pPr>
              <w:jc w:val="right"/>
              <w:rPr>
                <w:rFonts w:cs="Arial"/>
                <w:szCs w:val="24"/>
              </w:rPr>
            </w:pPr>
            <w:r w:rsidRPr="00C60258">
              <w:rPr>
                <w:rFonts w:cs="Arial"/>
                <w:sz w:val="22"/>
                <w:szCs w:val="22"/>
                <w:lang w:eastAsia="en-GB"/>
              </w:rPr>
              <w:t>-6,737</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0258" w:rsidRPr="00C60258" w:rsidRDefault="00C60258" w:rsidP="00C60258">
            <w:pPr>
              <w:jc w:val="right"/>
              <w:rPr>
                <w:rFonts w:cs="Arial"/>
                <w:szCs w:val="24"/>
              </w:rPr>
            </w:pPr>
            <w:r w:rsidRPr="00C60258">
              <w:rPr>
                <w:rFonts w:cs="Arial"/>
                <w:sz w:val="22"/>
                <w:szCs w:val="22"/>
                <w:lang w:eastAsia="en-GB"/>
              </w:rPr>
              <w:t>-6,245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0258" w:rsidRPr="00C60258" w:rsidRDefault="00C60258" w:rsidP="00C60258">
            <w:pPr>
              <w:jc w:val="right"/>
              <w:rPr>
                <w:rFonts w:cs="Arial"/>
                <w:szCs w:val="24"/>
              </w:rPr>
            </w:pPr>
            <w:r w:rsidRPr="00C60258">
              <w:rPr>
                <w:rFonts w:cs="Arial"/>
                <w:sz w:val="22"/>
                <w:szCs w:val="22"/>
                <w:lang w:eastAsia="en-GB"/>
              </w:rPr>
              <w:t>-6,892</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0258" w:rsidRPr="00C60258" w:rsidRDefault="00C60258" w:rsidP="00C60258">
            <w:pPr>
              <w:jc w:val="right"/>
              <w:rPr>
                <w:rFonts w:cs="Arial"/>
                <w:szCs w:val="24"/>
              </w:rPr>
            </w:pPr>
            <w:r w:rsidRPr="00C60258">
              <w:rPr>
                <w:rFonts w:cs="Arial"/>
                <w:sz w:val="22"/>
                <w:szCs w:val="22"/>
                <w:lang w:eastAsia="en-GB"/>
              </w:rPr>
              <w:t>-647</w:t>
            </w:r>
          </w:p>
        </w:tc>
      </w:tr>
      <w:tr w:rsidR="00164199" w:rsidRPr="00C60258" w:rsidTr="00A37874">
        <w:trPr>
          <w:trHeight w:val="630"/>
        </w:trPr>
        <w:tc>
          <w:tcPr>
            <w:tcW w:w="2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0258" w:rsidRPr="00C60258" w:rsidRDefault="00C60258" w:rsidP="00C60258">
            <w:pPr>
              <w:rPr>
                <w:rFonts w:cs="Arial"/>
                <w:szCs w:val="24"/>
              </w:rPr>
            </w:pPr>
            <w:r w:rsidRPr="00C60258">
              <w:rPr>
                <w:rFonts w:cs="Arial"/>
                <w:sz w:val="22"/>
                <w:szCs w:val="22"/>
                <w:lang w:eastAsia="en-GB"/>
              </w:rPr>
              <w:t>Net (surplus) deficit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0258" w:rsidRPr="00C60258" w:rsidRDefault="00C60258" w:rsidP="00C60258">
            <w:pPr>
              <w:jc w:val="right"/>
              <w:rPr>
                <w:rFonts w:cs="Arial"/>
                <w:szCs w:val="24"/>
              </w:rPr>
            </w:pPr>
            <w:r w:rsidRPr="00C60258">
              <w:rPr>
                <w:rFonts w:cs="Arial"/>
                <w:sz w:val="22"/>
                <w:szCs w:val="22"/>
                <w:lang w:eastAsia="en-GB"/>
              </w:rPr>
              <w:t>-155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258" w:rsidRPr="00C60258" w:rsidRDefault="00C60258" w:rsidP="00C60258">
            <w:pPr>
              <w:jc w:val="right"/>
              <w:rPr>
                <w:rFonts w:cs="Arial"/>
                <w:szCs w:val="24"/>
              </w:rPr>
            </w:pPr>
            <w:r w:rsidRPr="00C60258">
              <w:rPr>
                <w:rFonts w:cs="Arial"/>
                <w:sz w:val="22"/>
                <w:szCs w:val="22"/>
                <w:lang w:eastAsia="en-GB"/>
              </w:rPr>
              <w:t>1,488</w:t>
            </w: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60258" w:rsidRPr="00C60258" w:rsidRDefault="00C60258" w:rsidP="00C60258">
            <w:pPr>
              <w:jc w:val="right"/>
              <w:rPr>
                <w:rFonts w:cs="Arial"/>
                <w:szCs w:val="24"/>
              </w:rPr>
            </w:pPr>
            <w:r w:rsidRPr="00C60258">
              <w:rPr>
                <w:rFonts w:cs="Arial"/>
                <w:sz w:val="22"/>
                <w:szCs w:val="22"/>
                <w:lang w:eastAsia="en-GB"/>
              </w:rPr>
              <w:t>-582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0258" w:rsidRPr="00C60258" w:rsidRDefault="00C60258" w:rsidP="00C60258">
            <w:pPr>
              <w:jc w:val="right"/>
              <w:rPr>
                <w:rFonts w:cs="Arial"/>
                <w:szCs w:val="24"/>
              </w:rPr>
            </w:pPr>
            <w:r w:rsidRPr="00C60258">
              <w:rPr>
                <w:rFonts w:cs="Arial"/>
                <w:sz w:val="22"/>
                <w:szCs w:val="22"/>
                <w:lang w:eastAsia="en-GB"/>
              </w:rPr>
              <w:t>-2,070</w:t>
            </w:r>
          </w:p>
        </w:tc>
      </w:tr>
      <w:tr w:rsidR="00164199" w:rsidRPr="00C60258" w:rsidTr="00A37874">
        <w:trPr>
          <w:trHeight w:val="630"/>
        </w:trPr>
        <w:tc>
          <w:tcPr>
            <w:tcW w:w="2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0258" w:rsidRPr="00C60258" w:rsidRDefault="00C60258" w:rsidP="00C60258">
            <w:pPr>
              <w:rPr>
                <w:rFonts w:cs="Arial"/>
                <w:szCs w:val="24"/>
              </w:rPr>
            </w:pPr>
            <w:r w:rsidRPr="00C60258">
              <w:rPr>
                <w:rFonts w:cs="Arial"/>
                <w:sz w:val="22"/>
                <w:szCs w:val="22"/>
                <w:lang w:eastAsia="en-GB"/>
              </w:rPr>
              <w:t>Balance c/</w:t>
            </w:r>
            <w:proofErr w:type="spellStart"/>
            <w:r w:rsidRPr="00C60258">
              <w:rPr>
                <w:rFonts w:cs="Arial"/>
                <w:sz w:val="22"/>
                <w:szCs w:val="22"/>
                <w:lang w:eastAsia="en-GB"/>
              </w:rPr>
              <w:t>fwd</w:t>
            </w:r>
            <w:proofErr w:type="spellEnd"/>
            <w:r w:rsidRPr="00C60258">
              <w:rPr>
                <w:rFonts w:cs="Arial"/>
                <w:sz w:val="22"/>
                <w:szCs w:val="22"/>
                <w:lang w:eastAsia="en-GB"/>
              </w:rPr>
              <w:t xml:space="preserve">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0258" w:rsidRPr="00C60258" w:rsidRDefault="00C60258" w:rsidP="00C60258">
            <w:pPr>
              <w:jc w:val="right"/>
              <w:rPr>
                <w:rFonts w:cs="Arial"/>
                <w:szCs w:val="24"/>
              </w:rPr>
            </w:pPr>
            <w:r w:rsidRPr="00C60258">
              <w:rPr>
                <w:rFonts w:cs="Arial"/>
                <w:sz w:val="22"/>
                <w:szCs w:val="22"/>
                <w:lang w:eastAsia="en-GB"/>
              </w:rPr>
              <w:t>-6,892</w:t>
            </w:r>
          </w:p>
        </w:tc>
        <w:tc>
          <w:tcPr>
            <w:tcW w:w="127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C60258" w:rsidRPr="00C60258" w:rsidRDefault="00C60258" w:rsidP="00C60258">
            <w:pPr>
              <w:jc w:val="right"/>
              <w:rPr>
                <w:rFonts w:cs="Arial"/>
                <w:szCs w:val="24"/>
              </w:rPr>
            </w:pPr>
            <w:r w:rsidRPr="00C60258">
              <w:rPr>
                <w:rFonts w:cs="Arial"/>
                <w:sz w:val="22"/>
                <w:szCs w:val="22"/>
                <w:lang w:eastAsia="en-GB"/>
              </w:rPr>
              <w:t>-4,757</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60258" w:rsidRPr="00C60258" w:rsidRDefault="00C60258" w:rsidP="00C60258">
            <w:pPr>
              <w:jc w:val="right"/>
              <w:rPr>
                <w:rFonts w:cs="Arial"/>
                <w:szCs w:val="24"/>
              </w:rPr>
            </w:pPr>
            <w:r w:rsidRPr="00C60258">
              <w:rPr>
                <w:rFonts w:cs="Arial"/>
                <w:sz w:val="22"/>
                <w:szCs w:val="22"/>
                <w:lang w:eastAsia="en-GB"/>
              </w:rPr>
              <w:t>-7,474</w:t>
            </w:r>
          </w:p>
        </w:tc>
        <w:tc>
          <w:tcPr>
            <w:tcW w:w="1134"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0258" w:rsidRPr="00C60258" w:rsidRDefault="00C60258" w:rsidP="00C60258">
            <w:pPr>
              <w:jc w:val="right"/>
              <w:rPr>
                <w:rFonts w:cs="Arial"/>
                <w:szCs w:val="24"/>
              </w:rPr>
            </w:pPr>
            <w:r w:rsidRPr="00C60258">
              <w:rPr>
                <w:rFonts w:cs="Arial"/>
                <w:sz w:val="22"/>
                <w:szCs w:val="22"/>
                <w:lang w:eastAsia="en-GB"/>
              </w:rPr>
              <w:t>-2,717</w:t>
            </w:r>
          </w:p>
        </w:tc>
      </w:tr>
    </w:tbl>
    <w:p w:rsidR="00C60258" w:rsidRPr="00AA3B74" w:rsidRDefault="00C60258" w:rsidP="00AA3B74">
      <w:pPr>
        <w:pStyle w:val="ListParagraph"/>
        <w:ind w:left="567"/>
        <w:jc w:val="both"/>
        <w:rPr>
          <w:rFonts w:cs="Arial"/>
        </w:rPr>
      </w:pPr>
    </w:p>
    <w:p w:rsidR="00C36877" w:rsidRDefault="00C36877">
      <w:pPr>
        <w:pStyle w:val="ListParagraph"/>
        <w:ind w:left="142"/>
        <w:jc w:val="both"/>
        <w:rPr>
          <w:rFonts w:cs="Arial"/>
          <w:b/>
          <w:u w:val="single"/>
        </w:rPr>
      </w:pPr>
    </w:p>
    <w:p w:rsidR="00BD47C5" w:rsidRPr="005B1952" w:rsidRDefault="00BD47C5">
      <w:pPr>
        <w:pStyle w:val="ListParagraph"/>
        <w:ind w:left="142"/>
        <w:jc w:val="both"/>
        <w:rPr>
          <w:rFonts w:cs="Arial"/>
          <w:b/>
          <w:u w:val="single"/>
        </w:rPr>
      </w:pPr>
      <w:proofErr w:type="spellStart"/>
      <w:r w:rsidRPr="005B1952">
        <w:rPr>
          <w:rFonts w:cs="Arial"/>
          <w:b/>
          <w:u w:val="single"/>
        </w:rPr>
        <w:t>Concilium</w:t>
      </w:r>
      <w:proofErr w:type="spellEnd"/>
      <w:r w:rsidRPr="005B1952">
        <w:rPr>
          <w:rFonts w:cs="Arial"/>
          <w:b/>
          <w:u w:val="single"/>
        </w:rPr>
        <w:t xml:space="preserve"> Business Services</w:t>
      </w:r>
    </w:p>
    <w:p w:rsidR="00BD47C5" w:rsidRDefault="00BD47C5">
      <w:pPr>
        <w:ind w:left="142"/>
        <w:jc w:val="both"/>
        <w:rPr>
          <w:rFonts w:cs="Arial"/>
          <w:b/>
        </w:rPr>
      </w:pPr>
    </w:p>
    <w:p w:rsidR="00BD47C5" w:rsidRDefault="00BD47C5" w:rsidP="00AA3B74">
      <w:pPr>
        <w:pStyle w:val="ListParagraph"/>
        <w:numPr>
          <w:ilvl w:val="0"/>
          <w:numId w:val="128"/>
        </w:numPr>
        <w:ind w:left="567" w:hanging="567"/>
        <w:jc w:val="both"/>
        <w:rPr>
          <w:rFonts w:cs="Arial"/>
        </w:rPr>
      </w:pPr>
      <w:r w:rsidRPr="006F766E">
        <w:rPr>
          <w:rFonts w:cs="Arial"/>
        </w:rPr>
        <w:t xml:space="preserve">The Quarter </w:t>
      </w:r>
      <w:r>
        <w:rPr>
          <w:rFonts w:cs="Arial"/>
        </w:rPr>
        <w:t>3</w:t>
      </w:r>
      <w:r w:rsidRPr="006F766E">
        <w:rPr>
          <w:rFonts w:cs="Arial"/>
        </w:rPr>
        <w:t xml:space="preserve"> performance of </w:t>
      </w:r>
      <w:proofErr w:type="spellStart"/>
      <w:r w:rsidRPr="006F766E">
        <w:rPr>
          <w:rFonts w:cs="Arial"/>
        </w:rPr>
        <w:t>Concilium</w:t>
      </w:r>
      <w:proofErr w:type="spellEnd"/>
      <w:r w:rsidRPr="006F766E">
        <w:rPr>
          <w:rFonts w:cs="Arial"/>
        </w:rPr>
        <w:t xml:space="preserve"> Business Services was reported to Cabinet in </w:t>
      </w:r>
      <w:r w:rsidRPr="00617A16">
        <w:rPr>
          <w:rFonts w:cs="Arial"/>
        </w:rPr>
        <w:t>February 2018. </w:t>
      </w:r>
      <w:r w:rsidRPr="003230D9">
        <w:rPr>
          <w:rFonts w:cs="Arial"/>
        </w:rPr>
        <w:t xml:space="preserve">Any profits generated from trading companies can be used to support the general fund, subject to agreement with the respective Board of Directors.  Any retained losses must be held against Council reserves in light of potential realisation.  The Quarter 4 performance of the Company is set out in Confidential Appendix </w:t>
      </w:r>
      <w:r w:rsidR="00164199">
        <w:rPr>
          <w:rFonts w:cs="Arial"/>
        </w:rPr>
        <w:t>5</w:t>
      </w:r>
      <w:r w:rsidRPr="001E0D1B">
        <w:rPr>
          <w:rFonts w:cs="Arial"/>
        </w:rPr>
        <w:t>.</w:t>
      </w:r>
    </w:p>
    <w:p w:rsidR="00425D53" w:rsidRDefault="00425D53">
      <w:pPr>
        <w:ind w:right="304"/>
        <w:jc w:val="both"/>
        <w:rPr>
          <w:rFonts w:cs="Arial"/>
          <w:b/>
        </w:rPr>
      </w:pPr>
    </w:p>
    <w:p w:rsidR="00B23BC2" w:rsidRDefault="00B23BC2">
      <w:pPr>
        <w:ind w:right="304"/>
        <w:jc w:val="both"/>
        <w:rPr>
          <w:rFonts w:cs="Arial"/>
          <w:b/>
        </w:rPr>
      </w:pPr>
    </w:p>
    <w:p w:rsidR="000D51A7" w:rsidRPr="000D51A7" w:rsidRDefault="000D51A7" w:rsidP="00AA3B74">
      <w:pPr>
        <w:pStyle w:val="ListParagraph"/>
        <w:numPr>
          <w:ilvl w:val="0"/>
          <w:numId w:val="114"/>
        </w:numPr>
        <w:ind w:left="284" w:right="304" w:hanging="644"/>
        <w:jc w:val="both"/>
        <w:rPr>
          <w:rFonts w:cs="Arial"/>
          <w:b/>
        </w:rPr>
      </w:pPr>
      <w:r w:rsidRPr="000D51A7">
        <w:rPr>
          <w:rFonts w:cs="Arial"/>
          <w:b/>
        </w:rPr>
        <w:t>CAPITAL</w:t>
      </w:r>
    </w:p>
    <w:p w:rsidR="000D51A7" w:rsidRPr="00DD7468" w:rsidRDefault="000D51A7" w:rsidP="00AA3B74">
      <w:pPr>
        <w:pStyle w:val="ListParagraph"/>
        <w:ind w:left="567"/>
        <w:jc w:val="both"/>
        <w:rPr>
          <w:rFonts w:cs="Arial"/>
        </w:rPr>
      </w:pPr>
    </w:p>
    <w:p w:rsidR="00BD47C5" w:rsidRPr="00DD7468" w:rsidRDefault="00BD47C5" w:rsidP="00AA3B74">
      <w:pPr>
        <w:pStyle w:val="ListParagraph"/>
        <w:numPr>
          <w:ilvl w:val="0"/>
          <w:numId w:val="114"/>
        </w:numPr>
        <w:ind w:left="567" w:hanging="567"/>
        <w:jc w:val="both"/>
        <w:rPr>
          <w:rFonts w:cs="Arial"/>
        </w:rPr>
      </w:pPr>
      <w:r w:rsidRPr="001E0D1B">
        <w:rPr>
          <w:rFonts w:cs="Arial"/>
          <w:szCs w:val="24"/>
        </w:rPr>
        <w:t>Total</w:t>
      </w:r>
      <w:r w:rsidRPr="00276194">
        <w:rPr>
          <w:rFonts w:cs="Arial"/>
        </w:rPr>
        <w:t xml:space="preserve"> spend on the capital programme for the year is £</w:t>
      </w:r>
      <w:r>
        <w:rPr>
          <w:rFonts w:cs="Arial"/>
        </w:rPr>
        <w:t>94.13</w:t>
      </w:r>
      <w:r w:rsidR="007B1C2D">
        <w:rPr>
          <w:rFonts w:cs="Arial"/>
        </w:rPr>
        <w:t>1</w:t>
      </w:r>
      <w:r w:rsidRPr="00276194">
        <w:rPr>
          <w:rFonts w:cs="Arial"/>
        </w:rPr>
        <w:t>m</w:t>
      </w:r>
      <w:r>
        <w:rPr>
          <w:rFonts w:cs="Arial"/>
        </w:rPr>
        <w:t xml:space="preserve">, which is 47% of the approved budget of £201.252m. </w:t>
      </w:r>
      <w:r w:rsidRPr="00A929D5">
        <w:rPr>
          <w:rFonts w:cs="Arial"/>
          <w:iCs/>
        </w:rPr>
        <w:t>The va</w:t>
      </w:r>
      <w:r w:rsidR="00D74868">
        <w:rPr>
          <w:rFonts w:cs="Arial"/>
          <w:iCs/>
        </w:rPr>
        <w:t>riance of £107.122m comprises</w:t>
      </w:r>
      <w:r w:rsidRPr="00A929D5">
        <w:rPr>
          <w:rFonts w:cs="Arial"/>
          <w:iCs/>
        </w:rPr>
        <w:t xml:space="preserve"> slippage</w:t>
      </w:r>
      <w:r w:rsidR="00D74868">
        <w:rPr>
          <w:rFonts w:cs="Arial"/>
          <w:iCs/>
        </w:rPr>
        <w:t xml:space="preserve"> of</w:t>
      </w:r>
      <w:r w:rsidRPr="00A929D5">
        <w:rPr>
          <w:rFonts w:cs="Arial"/>
          <w:iCs/>
        </w:rPr>
        <w:t xml:space="preserve"> £65.5m</w:t>
      </w:r>
      <w:r>
        <w:rPr>
          <w:rFonts w:cs="Arial"/>
          <w:iCs/>
        </w:rPr>
        <w:t xml:space="preserve"> and</w:t>
      </w:r>
      <w:r w:rsidR="00D74868">
        <w:rPr>
          <w:rFonts w:cs="Arial"/>
          <w:iCs/>
        </w:rPr>
        <w:t xml:space="preserve"> </w:t>
      </w:r>
      <w:proofErr w:type="gramStart"/>
      <w:r w:rsidR="00D74868">
        <w:rPr>
          <w:rFonts w:cs="Arial"/>
          <w:iCs/>
        </w:rPr>
        <w:t>an</w:t>
      </w:r>
      <w:r>
        <w:rPr>
          <w:rFonts w:cs="Arial"/>
          <w:iCs/>
        </w:rPr>
        <w:t xml:space="preserve"> </w:t>
      </w:r>
      <w:r w:rsidRPr="00A929D5">
        <w:rPr>
          <w:rFonts w:cs="Arial"/>
          <w:iCs/>
        </w:rPr>
        <w:t>underspend</w:t>
      </w:r>
      <w:proofErr w:type="gramEnd"/>
      <w:r w:rsidRPr="00A929D5">
        <w:rPr>
          <w:rFonts w:cs="Arial"/>
          <w:iCs/>
        </w:rPr>
        <w:t xml:space="preserve"> of £41.</w:t>
      </w:r>
      <w:r w:rsidR="00164199">
        <w:rPr>
          <w:rFonts w:cs="Arial"/>
          <w:iCs/>
        </w:rPr>
        <w:t>621m as set out in table 7</w:t>
      </w:r>
      <w:r>
        <w:rPr>
          <w:rFonts w:cs="Arial"/>
          <w:iCs/>
        </w:rPr>
        <w:t>.</w:t>
      </w:r>
    </w:p>
    <w:p w:rsidR="00BD47C5" w:rsidRDefault="00BD47C5" w:rsidP="00AA3B74">
      <w:pPr>
        <w:jc w:val="both"/>
        <w:rPr>
          <w:rFonts w:cs="Arial"/>
        </w:rPr>
      </w:pPr>
    </w:p>
    <w:p w:rsidR="00BD47C5" w:rsidRPr="00AA3B74" w:rsidRDefault="0070426A" w:rsidP="00AA3B74">
      <w:pPr>
        <w:jc w:val="both"/>
        <w:rPr>
          <w:rFonts w:cs="Arial"/>
          <w:b/>
          <w:u w:val="single"/>
        </w:rPr>
      </w:pPr>
      <w:r>
        <w:rPr>
          <w:rFonts w:cs="Arial"/>
        </w:rPr>
        <w:t xml:space="preserve">     </w:t>
      </w:r>
      <w:r w:rsidR="00BD47C5" w:rsidRPr="00AA3B74">
        <w:rPr>
          <w:rFonts w:cs="Arial"/>
          <w:b/>
          <w:u w:val="single"/>
        </w:rPr>
        <w:t xml:space="preserve">Table </w:t>
      </w:r>
      <w:r w:rsidR="00164199">
        <w:rPr>
          <w:rFonts w:cs="Arial"/>
          <w:b/>
          <w:u w:val="single"/>
        </w:rPr>
        <w:t>7</w:t>
      </w:r>
      <w:r>
        <w:rPr>
          <w:rFonts w:cs="Arial"/>
          <w:b/>
          <w:u w:val="single"/>
        </w:rPr>
        <w:t xml:space="preserve">: </w:t>
      </w:r>
      <w:r w:rsidR="00BD47C5" w:rsidRPr="00AA3B74">
        <w:rPr>
          <w:rFonts w:cs="Arial"/>
          <w:b/>
          <w:u w:val="single"/>
        </w:rPr>
        <w:t xml:space="preserve"> Summary of Capital Outturn</w:t>
      </w:r>
    </w:p>
    <w:p w:rsidR="00276D51" w:rsidRDefault="00F00A8A" w:rsidP="00AA3B74">
      <w:pPr>
        <w:pStyle w:val="ListParagraph"/>
        <w:ind w:left="360" w:right="304"/>
        <w:jc w:val="both"/>
        <w:rPr>
          <w:rFonts w:cs="Arial"/>
        </w:rPr>
      </w:pPr>
      <w:r w:rsidRPr="00F00A8A">
        <w:rPr>
          <w:noProof/>
          <w:lang w:eastAsia="en-GB"/>
        </w:rPr>
        <w:drawing>
          <wp:inline distT="0" distB="0" distL="0" distR="0" wp14:anchorId="36027B81" wp14:editId="1848CBCC">
            <wp:extent cx="5532755" cy="1851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2755" cy="1851660"/>
                    </a:xfrm>
                    <a:prstGeom prst="rect">
                      <a:avLst/>
                    </a:prstGeom>
                    <a:noFill/>
                    <a:ln>
                      <a:noFill/>
                    </a:ln>
                  </pic:spPr>
                </pic:pic>
              </a:graphicData>
            </a:graphic>
          </wp:inline>
        </w:drawing>
      </w:r>
    </w:p>
    <w:p w:rsidR="00BD47C5" w:rsidRDefault="00BD47C5" w:rsidP="00AA3B74">
      <w:pPr>
        <w:pStyle w:val="ListParagraph"/>
        <w:ind w:left="360" w:right="304"/>
        <w:jc w:val="both"/>
        <w:rPr>
          <w:rFonts w:cs="Arial"/>
        </w:rPr>
      </w:pPr>
    </w:p>
    <w:p w:rsidR="004F2366" w:rsidRDefault="00BD47C5" w:rsidP="00AA3B74">
      <w:pPr>
        <w:pStyle w:val="ListParagraph"/>
        <w:ind w:left="360"/>
        <w:jc w:val="both"/>
        <w:rPr>
          <w:rFonts w:cs="Arial"/>
          <w:iCs/>
        </w:rPr>
      </w:pPr>
      <w:r w:rsidRPr="005F331F">
        <w:rPr>
          <w:rFonts w:cs="Arial"/>
          <w:iCs/>
        </w:rPr>
        <w:t>Th</w:t>
      </w:r>
      <w:r w:rsidR="00164199" w:rsidRPr="005F331F">
        <w:rPr>
          <w:rFonts w:cs="Arial"/>
          <w:iCs/>
        </w:rPr>
        <w:t>e slippage identified in Table 8</w:t>
      </w:r>
      <w:r w:rsidRPr="005F331F">
        <w:rPr>
          <w:rFonts w:cs="Arial"/>
          <w:iCs/>
        </w:rPr>
        <w:t xml:space="preserve"> </w:t>
      </w:r>
      <w:r w:rsidR="00E9211B" w:rsidRPr="005F331F">
        <w:rPr>
          <w:rFonts w:cs="Arial"/>
          <w:iCs/>
        </w:rPr>
        <w:t xml:space="preserve">below </w:t>
      </w:r>
      <w:r w:rsidRPr="005F331F">
        <w:rPr>
          <w:rFonts w:cs="Arial"/>
          <w:iCs/>
        </w:rPr>
        <w:t xml:space="preserve">and detailed in Appendix </w:t>
      </w:r>
      <w:r w:rsidR="00164199" w:rsidRPr="005F331F">
        <w:rPr>
          <w:rFonts w:cs="Arial"/>
          <w:iCs/>
        </w:rPr>
        <w:t>6</w:t>
      </w:r>
      <w:r w:rsidRPr="005F331F">
        <w:rPr>
          <w:rFonts w:cs="Arial"/>
          <w:iCs/>
        </w:rPr>
        <w:t xml:space="preserve"> has been approved under delegated authority as carry forwards by the Chief Finance Officer. </w:t>
      </w:r>
    </w:p>
    <w:p w:rsidR="0030092E" w:rsidRDefault="005F331F" w:rsidP="00AA3B74">
      <w:pPr>
        <w:jc w:val="both"/>
        <w:rPr>
          <w:rFonts w:cs="Arial"/>
          <w:b/>
        </w:rPr>
      </w:pPr>
      <w:r>
        <w:rPr>
          <w:rFonts w:cs="Arial"/>
          <w:b/>
        </w:rPr>
        <w:t xml:space="preserve"> </w:t>
      </w:r>
      <w:r w:rsidR="00EC44F3">
        <w:rPr>
          <w:rFonts w:cs="Arial"/>
          <w:b/>
        </w:rPr>
        <w:t xml:space="preserve">    </w:t>
      </w:r>
    </w:p>
    <w:p w:rsidR="00913E33" w:rsidRDefault="0030092E" w:rsidP="00AA3B74">
      <w:pPr>
        <w:jc w:val="both"/>
        <w:rPr>
          <w:rFonts w:cs="Arial"/>
          <w:b/>
        </w:rPr>
      </w:pPr>
      <w:r>
        <w:rPr>
          <w:rFonts w:cs="Arial"/>
          <w:b/>
        </w:rPr>
        <w:t xml:space="preserve">     </w:t>
      </w:r>
    </w:p>
    <w:p w:rsidR="00913E33" w:rsidRDefault="00913E33" w:rsidP="00AA3B74">
      <w:pPr>
        <w:jc w:val="both"/>
        <w:rPr>
          <w:rFonts w:cs="Arial"/>
          <w:b/>
        </w:rPr>
      </w:pPr>
    </w:p>
    <w:p w:rsidR="00AE6152" w:rsidRDefault="00AE6152" w:rsidP="00AA3B74">
      <w:pPr>
        <w:jc w:val="both"/>
        <w:rPr>
          <w:rFonts w:cs="Arial"/>
          <w:b/>
        </w:rPr>
      </w:pPr>
    </w:p>
    <w:p w:rsidR="00AE6152" w:rsidRDefault="00AE6152" w:rsidP="00AA3B74">
      <w:pPr>
        <w:jc w:val="both"/>
        <w:rPr>
          <w:rFonts w:cs="Arial"/>
          <w:b/>
        </w:rPr>
      </w:pPr>
    </w:p>
    <w:p w:rsidR="00AE6152" w:rsidRDefault="00AE6152" w:rsidP="00AA3B74">
      <w:pPr>
        <w:jc w:val="both"/>
        <w:rPr>
          <w:rFonts w:cs="Arial"/>
          <w:b/>
        </w:rPr>
      </w:pPr>
    </w:p>
    <w:p w:rsidR="00AE6152" w:rsidRDefault="00AE6152" w:rsidP="00AA3B74">
      <w:pPr>
        <w:jc w:val="both"/>
        <w:rPr>
          <w:rFonts w:cs="Arial"/>
          <w:b/>
        </w:rPr>
      </w:pPr>
    </w:p>
    <w:p w:rsidR="00913E33" w:rsidRDefault="00913E33" w:rsidP="00AA3B74">
      <w:pPr>
        <w:jc w:val="both"/>
        <w:rPr>
          <w:rFonts w:cs="Arial"/>
          <w:b/>
        </w:rPr>
      </w:pPr>
    </w:p>
    <w:p w:rsidR="00BD47C5" w:rsidRPr="00AA3B74" w:rsidRDefault="00164199" w:rsidP="00A37874">
      <w:pPr>
        <w:ind w:firstLine="360"/>
        <w:jc w:val="both"/>
        <w:rPr>
          <w:rFonts w:cs="Arial"/>
          <w:u w:val="single"/>
        </w:rPr>
      </w:pPr>
      <w:r w:rsidRPr="00AA3B74">
        <w:rPr>
          <w:rFonts w:cs="Arial"/>
          <w:b/>
          <w:u w:val="single"/>
        </w:rPr>
        <w:t xml:space="preserve">Table </w:t>
      </w:r>
      <w:r>
        <w:rPr>
          <w:rFonts w:cs="Arial"/>
          <w:b/>
          <w:u w:val="single"/>
        </w:rPr>
        <w:t>8</w:t>
      </w:r>
      <w:r w:rsidR="00BD47C5" w:rsidRPr="00AA3B74">
        <w:rPr>
          <w:rFonts w:cs="Arial"/>
          <w:b/>
          <w:u w:val="single"/>
        </w:rPr>
        <w:t>: Capital Outturn and Funding 2017/18</w:t>
      </w:r>
      <w:r w:rsidR="00BD47C5" w:rsidRPr="00AA3B74">
        <w:rPr>
          <w:rFonts w:cs="Arial"/>
          <w:u w:val="single"/>
        </w:rPr>
        <w:t xml:space="preserve"> </w:t>
      </w:r>
    </w:p>
    <w:p w:rsidR="00BD47C5" w:rsidRDefault="00F40F59" w:rsidP="00AA3B74">
      <w:pPr>
        <w:pStyle w:val="ListParagraph"/>
        <w:ind w:left="360" w:right="304"/>
        <w:jc w:val="both"/>
        <w:rPr>
          <w:rFonts w:cs="Arial"/>
        </w:rPr>
      </w:pPr>
      <w:r w:rsidRPr="00F40F59">
        <w:rPr>
          <w:noProof/>
          <w:lang w:eastAsia="en-GB"/>
        </w:rPr>
        <w:drawing>
          <wp:inline distT="0" distB="0" distL="0" distR="0" wp14:anchorId="3BBF12F9" wp14:editId="2C47A756">
            <wp:extent cx="6123008" cy="892986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8928449"/>
                    </a:xfrm>
                    <a:prstGeom prst="rect">
                      <a:avLst/>
                    </a:prstGeom>
                    <a:noFill/>
                    <a:ln>
                      <a:noFill/>
                    </a:ln>
                  </pic:spPr>
                </pic:pic>
              </a:graphicData>
            </a:graphic>
          </wp:inline>
        </w:drawing>
      </w:r>
    </w:p>
    <w:p w:rsidR="00C60258" w:rsidRDefault="00C60258">
      <w:pPr>
        <w:pStyle w:val="ListParagraph"/>
        <w:ind w:left="360"/>
        <w:jc w:val="both"/>
        <w:rPr>
          <w:rFonts w:cs="Arial"/>
        </w:rPr>
      </w:pPr>
    </w:p>
    <w:p w:rsidR="004F2366" w:rsidRDefault="004F2366">
      <w:pPr>
        <w:tabs>
          <w:tab w:val="left" w:pos="525"/>
          <w:tab w:val="left" w:pos="567"/>
        </w:tabs>
        <w:ind w:left="14" w:right="304"/>
        <w:jc w:val="both"/>
        <w:rPr>
          <w:rFonts w:cs="Arial"/>
          <w:b/>
          <w:szCs w:val="24"/>
        </w:rPr>
      </w:pPr>
    </w:p>
    <w:p w:rsidR="00BD47C5" w:rsidRDefault="00BD47C5">
      <w:pPr>
        <w:tabs>
          <w:tab w:val="left" w:pos="525"/>
          <w:tab w:val="left" w:pos="567"/>
        </w:tabs>
        <w:ind w:left="14" w:right="304"/>
        <w:jc w:val="both"/>
        <w:rPr>
          <w:rFonts w:cs="Arial"/>
          <w:b/>
          <w:szCs w:val="24"/>
        </w:rPr>
      </w:pPr>
      <w:r>
        <w:rPr>
          <w:rFonts w:cs="Arial"/>
          <w:b/>
          <w:szCs w:val="24"/>
        </w:rPr>
        <w:t xml:space="preserve">DIRECTORATE </w:t>
      </w:r>
      <w:r w:rsidR="0070426A">
        <w:rPr>
          <w:rFonts w:cs="Arial"/>
          <w:b/>
          <w:szCs w:val="24"/>
        </w:rPr>
        <w:t>OUTTURN</w:t>
      </w:r>
      <w:r>
        <w:rPr>
          <w:rFonts w:cs="Arial"/>
          <w:b/>
          <w:szCs w:val="24"/>
        </w:rPr>
        <w:t xml:space="preserve"> </w:t>
      </w:r>
      <w:r>
        <w:rPr>
          <w:rFonts w:cs="Arial"/>
          <w:b/>
          <w:szCs w:val="24"/>
        </w:rPr>
        <w:tab/>
      </w:r>
    </w:p>
    <w:p w:rsidR="00BD47C5" w:rsidRPr="00B204B7" w:rsidRDefault="00BD47C5">
      <w:pPr>
        <w:ind w:left="14" w:right="304"/>
        <w:jc w:val="both"/>
        <w:rPr>
          <w:rFonts w:cs="Arial"/>
          <w:b/>
          <w:szCs w:val="24"/>
        </w:rPr>
      </w:pPr>
    </w:p>
    <w:p w:rsidR="00BD47C5" w:rsidRPr="000A566F" w:rsidRDefault="00BD47C5" w:rsidP="00AA3B74">
      <w:pPr>
        <w:pStyle w:val="ListParagraph"/>
        <w:numPr>
          <w:ilvl w:val="0"/>
          <w:numId w:val="114"/>
        </w:numPr>
        <w:ind w:left="567" w:right="304" w:hanging="567"/>
        <w:jc w:val="both"/>
        <w:rPr>
          <w:rFonts w:cs="Arial"/>
          <w:szCs w:val="24"/>
        </w:rPr>
      </w:pPr>
      <w:r w:rsidRPr="00281EA0">
        <w:rPr>
          <w:rFonts w:cs="Arial"/>
          <w:szCs w:val="24"/>
        </w:rPr>
        <w:t>The cap</w:t>
      </w:r>
      <w:r w:rsidRPr="004160E4">
        <w:rPr>
          <w:rFonts w:cs="Arial"/>
          <w:szCs w:val="24"/>
        </w:rPr>
        <w:t xml:space="preserve">ital </w:t>
      </w:r>
      <w:r w:rsidRPr="00281EA0">
        <w:rPr>
          <w:rFonts w:cs="Arial"/>
          <w:iCs/>
        </w:rPr>
        <w:t xml:space="preserve">programme by directorate is included </w:t>
      </w:r>
      <w:r w:rsidR="007B1C2D">
        <w:rPr>
          <w:rFonts w:cs="Arial"/>
          <w:iCs/>
        </w:rPr>
        <w:t>in</w:t>
      </w:r>
      <w:r w:rsidRPr="00281EA0">
        <w:rPr>
          <w:rFonts w:cs="Arial"/>
          <w:iCs/>
        </w:rPr>
        <w:t xml:space="preserve"> Appendix </w:t>
      </w:r>
      <w:r w:rsidR="00164199">
        <w:rPr>
          <w:rFonts w:cs="Arial"/>
          <w:iCs/>
        </w:rPr>
        <w:t>6</w:t>
      </w:r>
      <w:r w:rsidRPr="004160E4">
        <w:rPr>
          <w:rFonts w:cs="Arial"/>
          <w:iCs/>
        </w:rPr>
        <w:t xml:space="preserve"> showing performance against the latest approved budget for each programme line.  Set out below is narrative to explain the capital outturn and the major variances:</w:t>
      </w:r>
      <w:r w:rsidRPr="000A566F">
        <w:rPr>
          <w:rFonts w:cs="Arial"/>
          <w:szCs w:val="24"/>
        </w:rPr>
        <w:t xml:space="preserve"> </w:t>
      </w:r>
    </w:p>
    <w:p w:rsidR="00BD47C5" w:rsidRPr="000008F4" w:rsidRDefault="00BD47C5">
      <w:pPr>
        <w:ind w:right="304" w:firstLine="14"/>
        <w:jc w:val="both"/>
        <w:rPr>
          <w:rFonts w:cs="Arial"/>
          <w:b/>
          <w:szCs w:val="24"/>
        </w:rPr>
      </w:pPr>
    </w:p>
    <w:p w:rsidR="00BD47C5" w:rsidRDefault="00151AAB">
      <w:pPr>
        <w:ind w:left="14" w:right="304" w:firstLine="488"/>
        <w:jc w:val="both"/>
        <w:rPr>
          <w:rFonts w:cs="Arial"/>
          <w:b/>
          <w:szCs w:val="24"/>
        </w:rPr>
      </w:pPr>
      <w:r>
        <w:rPr>
          <w:rFonts w:cs="Arial"/>
          <w:b/>
          <w:szCs w:val="24"/>
        </w:rPr>
        <w:t>Resources</w:t>
      </w:r>
    </w:p>
    <w:p w:rsidR="00B25E8F" w:rsidRDefault="00B25E8F">
      <w:pPr>
        <w:ind w:left="14" w:right="304" w:firstLine="488"/>
        <w:jc w:val="both"/>
        <w:rPr>
          <w:rFonts w:cs="Arial"/>
          <w:b/>
          <w:szCs w:val="24"/>
        </w:rPr>
      </w:pPr>
    </w:p>
    <w:p w:rsidR="00BD47C5" w:rsidRPr="004E7384" w:rsidRDefault="00BD47C5" w:rsidP="00AA3B74">
      <w:pPr>
        <w:pStyle w:val="ListParagraph"/>
        <w:numPr>
          <w:ilvl w:val="0"/>
          <w:numId w:val="114"/>
        </w:numPr>
        <w:ind w:left="567" w:right="304" w:hanging="567"/>
        <w:jc w:val="both"/>
        <w:rPr>
          <w:rFonts w:cs="Arial"/>
          <w:szCs w:val="24"/>
        </w:rPr>
      </w:pPr>
      <w:r w:rsidRPr="00FC6115">
        <w:rPr>
          <w:rFonts w:cs="Arial"/>
          <w:szCs w:val="24"/>
        </w:rPr>
        <w:t>The directorate spent £9.743m against a b</w:t>
      </w:r>
      <w:r w:rsidR="00D74868">
        <w:rPr>
          <w:rFonts w:cs="Arial"/>
          <w:szCs w:val="24"/>
        </w:rPr>
        <w:t>udget of £24.460m, a 40% spend and a variance of</w:t>
      </w:r>
      <w:r w:rsidRPr="00FC6115">
        <w:rPr>
          <w:rFonts w:cs="Arial"/>
          <w:szCs w:val="24"/>
        </w:rPr>
        <w:t xml:space="preserve"> £14.71</w:t>
      </w:r>
      <w:r>
        <w:rPr>
          <w:rFonts w:cs="Arial"/>
          <w:szCs w:val="24"/>
        </w:rPr>
        <w:t>7</w:t>
      </w:r>
      <w:r w:rsidRPr="00FC6115">
        <w:rPr>
          <w:rFonts w:cs="Arial"/>
          <w:szCs w:val="24"/>
        </w:rPr>
        <w:t>m, £14.751m will be slipped to 2018/19 while £0.03</w:t>
      </w:r>
      <w:r>
        <w:rPr>
          <w:rFonts w:cs="Arial"/>
          <w:szCs w:val="24"/>
        </w:rPr>
        <w:t>4</w:t>
      </w:r>
      <w:r w:rsidRPr="00FC6115">
        <w:rPr>
          <w:rFonts w:cs="Arial"/>
          <w:szCs w:val="24"/>
        </w:rPr>
        <w:t>m budget is the net overspend which is fully funded by grant.</w:t>
      </w:r>
      <w:r w:rsidR="00C20BBF">
        <w:rPr>
          <w:rFonts w:cs="Arial"/>
          <w:szCs w:val="24"/>
        </w:rPr>
        <w:t xml:space="preserve"> There are no revenue implications as a result of this slippage. </w:t>
      </w:r>
      <w:r w:rsidRPr="004E7384" w:rsidDel="0094479D">
        <w:rPr>
          <w:rFonts w:cs="Arial"/>
          <w:szCs w:val="24"/>
        </w:rPr>
        <w:t xml:space="preserve"> </w:t>
      </w:r>
      <w:r w:rsidR="00C20BBF" w:rsidRPr="00C20BBF">
        <w:rPr>
          <w:rFonts w:cs="Arial"/>
          <w:szCs w:val="24"/>
        </w:rPr>
        <w:t>The key reasons for slippage are listed below</w:t>
      </w:r>
    </w:p>
    <w:p w:rsidR="00BD47C5" w:rsidRDefault="00BD47C5">
      <w:pPr>
        <w:pStyle w:val="ListParagraph"/>
        <w:ind w:left="374" w:right="304"/>
        <w:jc w:val="both"/>
        <w:rPr>
          <w:rFonts w:cs="Arial"/>
          <w:szCs w:val="24"/>
          <w:highlight w:val="yellow"/>
        </w:rPr>
      </w:pPr>
    </w:p>
    <w:p w:rsidR="00BD47C5" w:rsidRDefault="00BD47C5" w:rsidP="00AA3B74">
      <w:pPr>
        <w:pStyle w:val="ListParagraph"/>
        <w:numPr>
          <w:ilvl w:val="0"/>
          <w:numId w:val="133"/>
        </w:numPr>
        <w:ind w:left="993" w:right="304" w:hanging="284"/>
        <w:jc w:val="both"/>
        <w:rPr>
          <w:rFonts w:cs="Arial"/>
          <w:szCs w:val="24"/>
        </w:rPr>
      </w:pPr>
      <w:r w:rsidRPr="0038627D">
        <w:rPr>
          <w:rFonts w:cs="Arial"/>
          <w:szCs w:val="24"/>
        </w:rPr>
        <w:t>Property Investment Portfolio – £5.174m of the £9.599m budget has been spent</w:t>
      </w:r>
      <w:r w:rsidRPr="00D70251">
        <w:rPr>
          <w:rFonts w:cs="Arial"/>
          <w:szCs w:val="24"/>
        </w:rPr>
        <w:t xml:space="preserve"> in 2017/18 and the remaining (£4.425m) will be slipped to 2018/19 whilst the search for appropriate investment opportunities continues.</w:t>
      </w:r>
    </w:p>
    <w:p w:rsidR="0070426A" w:rsidRDefault="0070426A" w:rsidP="00AA3B74">
      <w:pPr>
        <w:pStyle w:val="ListParagraph"/>
        <w:ind w:left="993" w:right="304"/>
        <w:jc w:val="both"/>
        <w:rPr>
          <w:rFonts w:cs="Arial"/>
          <w:szCs w:val="24"/>
        </w:rPr>
      </w:pPr>
    </w:p>
    <w:p w:rsidR="0070426A" w:rsidRDefault="0070426A" w:rsidP="00AA3B74">
      <w:pPr>
        <w:pStyle w:val="ListParagraph"/>
        <w:numPr>
          <w:ilvl w:val="0"/>
          <w:numId w:val="133"/>
        </w:numPr>
        <w:ind w:left="993" w:right="304" w:hanging="284"/>
        <w:jc w:val="both"/>
        <w:rPr>
          <w:rFonts w:cs="Arial"/>
          <w:szCs w:val="24"/>
        </w:rPr>
      </w:pPr>
      <w:r w:rsidRPr="0070426A">
        <w:rPr>
          <w:rFonts w:cs="Arial"/>
          <w:szCs w:val="24"/>
        </w:rPr>
        <w:t xml:space="preserve">The majority of the slippage relates to the on-going refresh and enhancement of ICT (£3.589m), devolved application refresh (£1.382m), SAP financial Ledger and System Control (£0.585m) and  the enhancement of the ICT (£0.443m) to fund the on-going transformation of ICT within the authority. </w:t>
      </w:r>
      <w:r w:rsidR="00D74868">
        <w:rPr>
          <w:rFonts w:cs="Arial"/>
          <w:szCs w:val="24"/>
        </w:rPr>
        <w:t xml:space="preserve">A number of </w:t>
      </w:r>
      <w:r>
        <w:rPr>
          <w:rFonts w:cs="Arial"/>
          <w:szCs w:val="24"/>
        </w:rPr>
        <w:t xml:space="preserve">projects </w:t>
      </w:r>
      <w:r w:rsidRPr="0070426A">
        <w:rPr>
          <w:rFonts w:cs="Arial"/>
          <w:szCs w:val="24"/>
        </w:rPr>
        <w:t>included in the transformation programme</w:t>
      </w:r>
      <w:r>
        <w:rPr>
          <w:rFonts w:cs="Arial"/>
          <w:szCs w:val="24"/>
        </w:rPr>
        <w:t xml:space="preserve"> such as </w:t>
      </w:r>
      <w:r w:rsidRPr="0070426A">
        <w:rPr>
          <w:rFonts w:cs="Arial"/>
          <w:szCs w:val="24"/>
        </w:rPr>
        <w:t>Middleware Replacement, Enterprise Portfolio Assessment a</w:t>
      </w:r>
      <w:r>
        <w:rPr>
          <w:rFonts w:cs="Arial"/>
          <w:szCs w:val="24"/>
        </w:rPr>
        <w:t xml:space="preserve">nd Microsoft Exchange Upgrade </w:t>
      </w:r>
      <w:r w:rsidRPr="0070426A">
        <w:rPr>
          <w:rFonts w:cs="Arial"/>
          <w:szCs w:val="24"/>
        </w:rPr>
        <w:t>have been delayed resulting in related capital payments moving</w:t>
      </w:r>
      <w:r>
        <w:rPr>
          <w:rFonts w:cs="Arial"/>
          <w:szCs w:val="24"/>
        </w:rPr>
        <w:t xml:space="preserve"> into subsequent financial year</w:t>
      </w:r>
      <w:r w:rsidRPr="0070426A">
        <w:rPr>
          <w:rFonts w:cs="Arial"/>
          <w:szCs w:val="24"/>
        </w:rPr>
        <w:t>s.</w:t>
      </w:r>
    </w:p>
    <w:p w:rsidR="0070426A" w:rsidRPr="0038627D" w:rsidRDefault="0070426A" w:rsidP="00AA3B74">
      <w:pPr>
        <w:pStyle w:val="ListParagraph"/>
        <w:jc w:val="both"/>
        <w:rPr>
          <w:rFonts w:cs="Arial"/>
          <w:szCs w:val="24"/>
        </w:rPr>
      </w:pPr>
    </w:p>
    <w:p w:rsidR="0070426A" w:rsidRPr="0038627D" w:rsidRDefault="0070426A" w:rsidP="00AA3B74">
      <w:pPr>
        <w:pStyle w:val="ListParagraph"/>
        <w:numPr>
          <w:ilvl w:val="0"/>
          <w:numId w:val="133"/>
        </w:numPr>
        <w:ind w:left="993" w:right="304" w:hanging="284"/>
        <w:jc w:val="both"/>
        <w:rPr>
          <w:rFonts w:cs="Arial"/>
          <w:szCs w:val="24"/>
        </w:rPr>
      </w:pPr>
      <w:r w:rsidRPr="0070426A">
        <w:rPr>
          <w:rFonts w:cs="Arial"/>
          <w:szCs w:val="24"/>
        </w:rPr>
        <w:t xml:space="preserve">The general fund underspend  of £6.847m in 2016/17 was carried forward into 2017/18 and fully reallocated to several other projects, £3.088m has been spent on these projects to date, </w:t>
      </w:r>
      <w:r w:rsidR="00D74868">
        <w:rPr>
          <w:rFonts w:cs="Arial"/>
          <w:szCs w:val="24"/>
        </w:rPr>
        <w:t xml:space="preserve">and </w:t>
      </w:r>
      <w:r w:rsidRPr="0070426A">
        <w:rPr>
          <w:rFonts w:cs="Arial"/>
          <w:szCs w:val="24"/>
        </w:rPr>
        <w:t xml:space="preserve">the </w:t>
      </w:r>
      <w:r w:rsidR="00BE2DC6" w:rsidRPr="0070426A">
        <w:rPr>
          <w:rFonts w:cs="Arial"/>
          <w:szCs w:val="24"/>
        </w:rPr>
        <w:t>remaining</w:t>
      </w:r>
      <w:r w:rsidRPr="0070426A">
        <w:rPr>
          <w:rFonts w:cs="Arial"/>
          <w:szCs w:val="24"/>
        </w:rPr>
        <w:t xml:space="preserve"> budget of £3.770m will be carried forward to be used for the rest of the projects in  2018/19</w:t>
      </w:r>
      <w:r>
        <w:rPr>
          <w:rFonts w:cs="Arial"/>
          <w:szCs w:val="24"/>
        </w:rPr>
        <w:t>.</w:t>
      </w:r>
    </w:p>
    <w:p w:rsidR="00BD47C5" w:rsidRPr="006F766E" w:rsidRDefault="00BD47C5">
      <w:pPr>
        <w:pStyle w:val="ListParagraph"/>
        <w:ind w:left="502" w:right="304"/>
        <w:jc w:val="both"/>
        <w:rPr>
          <w:rFonts w:cs="Arial"/>
          <w:szCs w:val="24"/>
        </w:rPr>
      </w:pPr>
    </w:p>
    <w:p w:rsidR="00F273F6" w:rsidRDefault="00C954E5">
      <w:pPr>
        <w:ind w:left="14" w:right="304" w:firstLine="488"/>
        <w:jc w:val="both"/>
        <w:rPr>
          <w:rFonts w:cs="Arial"/>
          <w:b/>
          <w:szCs w:val="24"/>
        </w:rPr>
      </w:pPr>
      <w:r w:rsidRPr="00074EF4">
        <w:rPr>
          <w:rFonts w:cs="Arial"/>
          <w:iCs/>
        </w:rPr>
        <w:t xml:space="preserve"> </w:t>
      </w:r>
      <w:r w:rsidR="00151AAB">
        <w:rPr>
          <w:rFonts w:cs="Arial"/>
          <w:b/>
          <w:szCs w:val="24"/>
        </w:rPr>
        <w:t xml:space="preserve">Community </w:t>
      </w:r>
    </w:p>
    <w:p w:rsidR="00B25E8F" w:rsidRDefault="00B25E8F">
      <w:pPr>
        <w:ind w:left="14" w:right="304" w:firstLine="488"/>
        <w:jc w:val="both"/>
        <w:rPr>
          <w:rFonts w:cs="Arial"/>
          <w:b/>
          <w:szCs w:val="24"/>
        </w:rPr>
      </w:pPr>
    </w:p>
    <w:p w:rsidR="005E473F" w:rsidRPr="0038627D" w:rsidRDefault="003D2716" w:rsidP="00A37874">
      <w:pPr>
        <w:pStyle w:val="ListParagraph"/>
        <w:numPr>
          <w:ilvl w:val="0"/>
          <w:numId w:val="114"/>
        </w:numPr>
        <w:ind w:left="567" w:right="285" w:hanging="567"/>
        <w:jc w:val="both"/>
        <w:rPr>
          <w:rFonts w:cs="Arial"/>
        </w:rPr>
      </w:pPr>
      <w:r>
        <w:rPr>
          <w:rFonts w:cs="Arial"/>
          <w:szCs w:val="24"/>
        </w:rPr>
        <w:t>The net position</w:t>
      </w:r>
      <w:r w:rsidR="00F273F6" w:rsidRPr="00151AAB">
        <w:rPr>
          <w:rFonts w:cs="Arial"/>
          <w:szCs w:val="24"/>
        </w:rPr>
        <w:t xml:space="preserve"> for the Community Directorate is an outturn of £39.158m against the budget of £51.395m, a 76% spend. The variance is £12.237m (£12.571m of slippage and </w:t>
      </w:r>
      <w:r w:rsidR="00547D1F">
        <w:rPr>
          <w:rFonts w:cs="Arial"/>
          <w:szCs w:val="24"/>
        </w:rPr>
        <w:t xml:space="preserve">a net overspend of </w:t>
      </w:r>
      <w:r w:rsidR="00F273F6" w:rsidRPr="00151AAB">
        <w:rPr>
          <w:rFonts w:cs="Arial"/>
          <w:szCs w:val="24"/>
        </w:rPr>
        <w:t xml:space="preserve">£0.334m </w:t>
      </w:r>
      <w:r w:rsidR="00547D1F">
        <w:rPr>
          <w:rFonts w:cs="Arial"/>
          <w:szCs w:val="24"/>
        </w:rPr>
        <w:t xml:space="preserve">within the Housing </w:t>
      </w:r>
      <w:r w:rsidR="00BE2DC6">
        <w:rPr>
          <w:rFonts w:cs="Arial"/>
          <w:szCs w:val="24"/>
        </w:rPr>
        <w:t>General</w:t>
      </w:r>
      <w:r w:rsidR="00547D1F">
        <w:rPr>
          <w:rFonts w:cs="Arial"/>
          <w:szCs w:val="24"/>
        </w:rPr>
        <w:t xml:space="preserve"> Fund</w:t>
      </w:r>
      <w:r w:rsidR="00F273F6" w:rsidRPr="00151AAB">
        <w:rPr>
          <w:rFonts w:cs="Arial"/>
          <w:szCs w:val="24"/>
        </w:rPr>
        <w:t>)</w:t>
      </w:r>
      <w:r w:rsidR="00151AAB" w:rsidRPr="00151AAB">
        <w:rPr>
          <w:rFonts w:cs="Arial"/>
          <w:szCs w:val="24"/>
        </w:rPr>
        <w:t xml:space="preserve">. </w:t>
      </w:r>
    </w:p>
    <w:p w:rsidR="00151AAB" w:rsidRPr="00151AAB" w:rsidRDefault="00151AAB" w:rsidP="00AA3B74">
      <w:pPr>
        <w:pStyle w:val="ListParagraph"/>
        <w:ind w:left="502"/>
        <w:jc w:val="both"/>
        <w:rPr>
          <w:rFonts w:cs="Arial"/>
        </w:rPr>
      </w:pPr>
    </w:p>
    <w:p w:rsidR="00F273F6" w:rsidRPr="00B906F7" w:rsidRDefault="00F273F6">
      <w:pPr>
        <w:ind w:left="14" w:right="304" w:firstLine="488"/>
        <w:jc w:val="both"/>
        <w:rPr>
          <w:rFonts w:cs="Arial"/>
          <w:b/>
          <w:szCs w:val="24"/>
        </w:rPr>
      </w:pPr>
      <w:r>
        <w:rPr>
          <w:rFonts w:cs="Arial"/>
          <w:b/>
          <w:szCs w:val="24"/>
        </w:rPr>
        <w:t xml:space="preserve">Commissioning, </w:t>
      </w:r>
      <w:r w:rsidRPr="00B906F7">
        <w:rPr>
          <w:rFonts w:cs="Arial"/>
          <w:b/>
          <w:szCs w:val="24"/>
        </w:rPr>
        <w:t>Environment</w:t>
      </w:r>
      <w:r>
        <w:rPr>
          <w:rFonts w:cs="Arial"/>
          <w:b/>
          <w:szCs w:val="24"/>
        </w:rPr>
        <w:t>al and Cultural Services</w:t>
      </w:r>
    </w:p>
    <w:p w:rsidR="00F273F6" w:rsidRPr="004E7384" w:rsidRDefault="00F273F6" w:rsidP="00AA3B74">
      <w:pPr>
        <w:pStyle w:val="ListParagraph"/>
        <w:numPr>
          <w:ilvl w:val="0"/>
          <w:numId w:val="114"/>
        </w:numPr>
        <w:ind w:left="567" w:right="304" w:hanging="567"/>
        <w:jc w:val="both"/>
        <w:rPr>
          <w:rFonts w:cs="Arial"/>
          <w:color w:val="FF0000"/>
          <w:szCs w:val="24"/>
        </w:rPr>
      </w:pPr>
      <w:r w:rsidRPr="0073720C">
        <w:rPr>
          <w:rFonts w:cs="Arial"/>
          <w:szCs w:val="24"/>
        </w:rPr>
        <w:t xml:space="preserve">The </w:t>
      </w:r>
      <w:r w:rsidRPr="00074EF4">
        <w:t>services spent £</w:t>
      </w:r>
      <w:r>
        <w:t>24.062</w:t>
      </w:r>
      <w:r w:rsidRPr="00074EF4">
        <w:t>m against a budget of £</w:t>
      </w:r>
      <w:proofErr w:type="gramStart"/>
      <w:r>
        <w:t>27.866m</w:t>
      </w:r>
      <w:r w:rsidRPr="00074EF4">
        <w:t>,</w:t>
      </w:r>
      <w:proofErr w:type="gramEnd"/>
      <w:r w:rsidRPr="00074EF4">
        <w:t xml:space="preserve"> </w:t>
      </w:r>
      <w:r>
        <w:t xml:space="preserve">£3.350m is requested </w:t>
      </w:r>
      <w:r w:rsidR="005E473F">
        <w:t xml:space="preserve">   </w:t>
      </w:r>
      <w:r>
        <w:t>to be slipped into 2018/19 and relates m</w:t>
      </w:r>
      <w:r w:rsidR="00C354A4">
        <w:t>ainly to the following projects</w:t>
      </w:r>
      <w:r w:rsidR="005D0482">
        <w:t>. There is no revenue implication of these capital slippages.</w:t>
      </w:r>
      <w:r>
        <w:t xml:space="preserve"> </w:t>
      </w:r>
    </w:p>
    <w:p w:rsidR="00F273F6" w:rsidRPr="004E7384" w:rsidRDefault="00F273F6">
      <w:pPr>
        <w:pStyle w:val="ListParagraph"/>
        <w:ind w:left="374" w:right="304"/>
        <w:jc w:val="both"/>
        <w:rPr>
          <w:rFonts w:cs="Arial"/>
          <w:color w:val="FF0000"/>
          <w:szCs w:val="24"/>
        </w:rPr>
      </w:pPr>
    </w:p>
    <w:p w:rsidR="00F273F6" w:rsidRDefault="00F273F6">
      <w:pPr>
        <w:pStyle w:val="ListParagraph"/>
        <w:numPr>
          <w:ilvl w:val="0"/>
          <w:numId w:val="86"/>
        </w:numPr>
        <w:ind w:right="304"/>
        <w:jc w:val="both"/>
        <w:rPr>
          <w:rFonts w:cs="Arial"/>
          <w:szCs w:val="24"/>
        </w:rPr>
      </w:pPr>
      <w:r w:rsidRPr="004E7384">
        <w:rPr>
          <w:rFonts w:cs="Arial"/>
          <w:szCs w:val="24"/>
        </w:rPr>
        <w:t>Depot redevelopment (£2.2m). There was a delay in achieving planning permission on demolition and new build works due to an objection from LB Hillingdon, with full planning permission subsequently not received until February 18.</w:t>
      </w:r>
      <w:r>
        <w:rPr>
          <w:rFonts w:cs="Arial"/>
          <w:szCs w:val="24"/>
        </w:rPr>
        <w:t xml:space="preserve"> However the completion date remains in line with the original timetable.</w:t>
      </w:r>
    </w:p>
    <w:p w:rsidR="00F273F6" w:rsidRPr="004E7384" w:rsidRDefault="00F273F6">
      <w:pPr>
        <w:pStyle w:val="ListParagraph"/>
        <w:ind w:left="1094" w:right="304"/>
        <w:jc w:val="both"/>
        <w:rPr>
          <w:rFonts w:cs="Arial"/>
          <w:szCs w:val="24"/>
        </w:rPr>
      </w:pPr>
    </w:p>
    <w:p w:rsidR="00F273F6" w:rsidRDefault="00F273F6">
      <w:pPr>
        <w:pStyle w:val="ListParagraph"/>
        <w:numPr>
          <w:ilvl w:val="0"/>
          <w:numId w:val="86"/>
        </w:numPr>
        <w:ind w:right="304"/>
        <w:jc w:val="both"/>
        <w:rPr>
          <w:rFonts w:cs="Arial"/>
          <w:szCs w:val="24"/>
        </w:rPr>
      </w:pPr>
      <w:r w:rsidRPr="004E7384">
        <w:rPr>
          <w:rFonts w:cs="Arial"/>
          <w:szCs w:val="24"/>
        </w:rPr>
        <w:t>Redevelopment of Vernon Lodge (£0.71</w:t>
      </w:r>
      <w:r>
        <w:rPr>
          <w:rFonts w:cs="Arial"/>
          <w:szCs w:val="24"/>
        </w:rPr>
        <w:t>0</w:t>
      </w:r>
      <w:r w:rsidRPr="004E7384">
        <w:rPr>
          <w:rFonts w:cs="Arial"/>
          <w:szCs w:val="24"/>
        </w:rPr>
        <w:t>m). The scope of works to Vernon Lodge has been extended to incorporate the wider redevelopment of the site, with this project held back pending agreement of the wider development proposals.</w:t>
      </w:r>
    </w:p>
    <w:p w:rsidR="00F273F6" w:rsidRPr="00280E06" w:rsidRDefault="00F273F6" w:rsidP="00AA3B74">
      <w:pPr>
        <w:pStyle w:val="ListParagraph"/>
        <w:jc w:val="both"/>
        <w:rPr>
          <w:rFonts w:cs="Arial"/>
          <w:szCs w:val="24"/>
        </w:rPr>
      </w:pPr>
    </w:p>
    <w:p w:rsidR="00F273F6" w:rsidRDefault="00F273F6">
      <w:pPr>
        <w:pStyle w:val="ListParagraph"/>
        <w:numPr>
          <w:ilvl w:val="0"/>
          <w:numId w:val="86"/>
        </w:numPr>
        <w:ind w:right="304"/>
        <w:jc w:val="both"/>
        <w:rPr>
          <w:rFonts w:cs="Arial"/>
          <w:szCs w:val="24"/>
        </w:rPr>
      </w:pPr>
      <w:r w:rsidRPr="00C876F7">
        <w:rPr>
          <w:rFonts w:cs="Arial"/>
          <w:szCs w:val="24"/>
        </w:rPr>
        <w:t>Harrow Arts Centre roof work (£</w:t>
      </w:r>
      <w:r>
        <w:rPr>
          <w:rFonts w:cs="Arial"/>
          <w:szCs w:val="24"/>
        </w:rPr>
        <w:t>0.281m</w:t>
      </w:r>
      <w:r w:rsidRPr="00C876F7">
        <w:rPr>
          <w:rFonts w:cs="Arial"/>
          <w:szCs w:val="24"/>
        </w:rPr>
        <w:t>). Delay in implementing the scheme due to clarifications around the extent of works required to weatherproof the listed building, exacerbated by further delays due to adverse weather conditions and gaining approval on proposal materials</w:t>
      </w:r>
      <w:r>
        <w:rPr>
          <w:rFonts w:cs="Arial"/>
          <w:szCs w:val="24"/>
        </w:rPr>
        <w:t>. The work is anticipated to be completed in early 2018.</w:t>
      </w:r>
    </w:p>
    <w:p w:rsidR="00F273F6" w:rsidRDefault="00F273F6">
      <w:pPr>
        <w:pStyle w:val="ListParagraph"/>
        <w:ind w:left="1094" w:right="304"/>
        <w:jc w:val="both"/>
        <w:rPr>
          <w:rFonts w:cs="Arial"/>
          <w:szCs w:val="24"/>
        </w:rPr>
      </w:pPr>
    </w:p>
    <w:p w:rsidR="00F273F6" w:rsidRDefault="00F273F6">
      <w:pPr>
        <w:pStyle w:val="ListParagraph"/>
        <w:numPr>
          <w:ilvl w:val="0"/>
          <w:numId w:val="86"/>
        </w:numPr>
        <w:ind w:right="304"/>
        <w:jc w:val="both"/>
        <w:rPr>
          <w:rFonts w:cs="Arial"/>
          <w:szCs w:val="24"/>
        </w:rPr>
      </w:pPr>
      <w:r w:rsidRPr="00C876F7">
        <w:rPr>
          <w:rFonts w:cs="Arial"/>
          <w:szCs w:val="24"/>
        </w:rPr>
        <w:t>Other smaller projects (£</w:t>
      </w:r>
      <w:r>
        <w:rPr>
          <w:rFonts w:cs="Arial"/>
          <w:szCs w:val="24"/>
        </w:rPr>
        <w:t>0.</w:t>
      </w:r>
      <w:r w:rsidRPr="00C876F7">
        <w:rPr>
          <w:rFonts w:cs="Arial"/>
          <w:szCs w:val="24"/>
        </w:rPr>
        <w:t>159</w:t>
      </w:r>
      <w:r>
        <w:rPr>
          <w:rFonts w:cs="Arial"/>
          <w:szCs w:val="24"/>
        </w:rPr>
        <w:t>m</w:t>
      </w:r>
      <w:r w:rsidRPr="00C876F7">
        <w:rPr>
          <w:rFonts w:cs="Arial"/>
          <w:szCs w:val="24"/>
        </w:rPr>
        <w:t>) mainly due to the delay in completion by 3</w:t>
      </w:r>
      <w:r w:rsidRPr="00C876F7">
        <w:rPr>
          <w:rFonts w:cs="Arial"/>
          <w:szCs w:val="24"/>
          <w:vertAlign w:val="superscript"/>
        </w:rPr>
        <w:t>rd</w:t>
      </w:r>
      <w:r w:rsidRPr="00C876F7">
        <w:rPr>
          <w:rFonts w:cs="Arial"/>
          <w:szCs w:val="24"/>
        </w:rPr>
        <w:t xml:space="preserve"> party contractors</w:t>
      </w:r>
    </w:p>
    <w:p w:rsidR="00EC44F3" w:rsidRPr="00AE7967" w:rsidRDefault="00EC44F3" w:rsidP="00AA3B74">
      <w:pPr>
        <w:pStyle w:val="ListParagraph"/>
        <w:jc w:val="both"/>
        <w:rPr>
          <w:rFonts w:cs="Arial"/>
          <w:szCs w:val="24"/>
        </w:rPr>
      </w:pPr>
    </w:p>
    <w:p w:rsidR="00F273F6" w:rsidRDefault="00F273F6">
      <w:pPr>
        <w:pStyle w:val="ListParagraph"/>
        <w:ind w:left="502" w:right="304" w:hanging="76"/>
        <w:jc w:val="both"/>
        <w:rPr>
          <w:rFonts w:cs="Arial"/>
          <w:b/>
          <w:szCs w:val="24"/>
        </w:rPr>
      </w:pPr>
      <w:r w:rsidRPr="00074EF4">
        <w:rPr>
          <w:rFonts w:cs="Arial"/>
          <w:b/>
          <w:szCs w:val="24"/>
        </w:rPr>
        <w:t>Housing General Fund</w:t>
      </w:r>
    </w:p>
    <w:p w:rsidR="00F273F6" w:rsidRPr="00074EF4" w:rsidRDefault="00F273F6">
      <w:pPr>
        <w:pStyle w:val="ListParagraph"/>
        <w:ind w:left="502" w:right="304" w:hanging="76"/>
        <w:jc w:val="both"/>
        <w:rPr>
          <w:rFonts w:cs="Arial"/>
          <w:b/>
          <w:color w:val="FF0000"/>
          <w:szCs w:val="24"/>
        </w:rPr>
      </w:pPr>
    </w:p>
    <w:p w:rsidR="003D2716" w:rsidRPr="00AA3B74" w:rsidRDefault="00F273F6" w:rsidP="00AA3B74">
      <w:pPr>
        <w:pStyle w:val="ListParagraph"/>
        <w:numPr>
          <w:ilvl w:val="0"/>
          <w:numId w:val="114"/>
        </w:numPr>
        <w:ind w:left="567" w:hanging="567"/>
        <w:jc w:val="both"/>
        <w:rPr>
          <w:rFonts w:cs="Arial"/>
        </w:rPr>
      </w:pPr>
      <w:r w:rsidRPr="00AA3B74">
        <w:rPr>
          <w:rFonts w:cs="Arial"/>
          <w:szCs w:val="24"/>
        </w:rPr>
        <w:t xml:space="preserve">The service spent £14.725m against a budget of £23.529m, </w:t>
      </w:r>
      <w:r w:rsidR="003D2716" w:rsidRPr="00AA3B74">
        <w:rPr>
          <w:rFonts w:cs="Arial"/>
          <w:szCs w:val="24"/>
        </w:rPr>
        <w:t xml:space="preserve">a </w:t>
      </w:r>
      <w:r w:rsidRPr="00AA3B74">
        <w:rPr>
          <w:rFonts w:cs="Arial"/>
          <w:szCs w:val="24"/>
        </w:rPr>
        <w:t xml:space="preserve">63% </w:t>
      </w:r>
      <w:r w:rsidR="003D2716" w:rsidRPr="00AA3B74">
        <w:rPr>
          <w:rFonts w:cs="Arial"/>
          <w:szCs w:val="24"/>
        </w:rPr>
        <w:t>spend</w:t>
      </w:r>
      <w:r w:rsidRPr="00AA3B74">
        <w:rPr>
          <w:rFonts w:cs="Arial"/>
          <w:szCs w:val="24"/>
        </w:rPr>
        <w:t xml:space="preserve">.  </w:t>
      </w:r>
      <w:r w:rsidR="005314CD" w:rsidRPr="00AA3B74">
        <w:rPr>
          <w:rFonts w:cs="Arial"/>
          <w:szCs w:val="24"/>
        </w:rPr>
        <w:t>This includes the property purchase initiative spent of £11.473m and spends</w:t>
      </w:r>
      <w:r w:rsidRPr="00AA3B74">
        <w:rPr>
          <w:rFonts w:cs="Arial"/>
          <w:szCs w:val="24"/>
        </w:rPr>
        <w:t xml:space="preserve"> on the remaining Housing General Fund projects was </w:t>
      </w:r>
      <w:r w:rsidRPr="00074EF4">
        <w:t>£</w:t>
      </w:r>
      <w:r>
        <w:t>3.252</w:t>
      </w:r>
      <w:r w:rsidRPr="00074EF4">
        <w:t>m</w:t>
      </w:r>
      <w:r w:rsidR="003D2716">
        <w:t>.</w:t>
      </w:r>
    </w:p>
    <w:p w:rsidR="00F273F6" w:rsidRPr="00AA3B74" w:rsidRDefault="00F273F6" w:rsidP="00AA3B74">
      <w:pPr>
        <w:pStyle w:val="ListParagraph"/>
        <w:ind w:left="360"/>
        <w:jc w:val="both"/>
        <w:rPr>
          <w:rFonts w:cs="Arial"/>
        </w:rPr>
      </w:pPr>
      <w:r w:rsidRPr="00074EF4">
        <w:t xml:space="preserve"> </w:t>
      </w:r>
    </w:p>
    <w:p w:rsidR="00F273F6" w:rsidRPr="005C4C1A" w:rsidRDefault="005E1743">
      <w:pPr>
        <w:pStyle w:val="ListParagraph"/>
        <w:ind w:left="502" w:right="304" w:hanging="76"/>
        <w:jc w:val="both"/>
        <w:rPr>
          <w:rFonts w:cs="Arial"/>
          <w:szCs w:val="24"/>
        </w:rPr>
      </w:pPr>
      <w:r>
        <w:rPr>
          <w:rFonts w:cs="Arial"/>
          <w:b/>
          <w:szCs w:val="24"/>
        </w:rPr>
        <w:t xml:space="preserve"> </w:t>
      </w:r>
      <w:r w:rsidR="00F273F6" w:rsidRPr="005C4C1A">
        <w:rPr>
          <w:rFonts w:cs="Arial"/>
          <w:b/>
          <w:szCs w:val="24"/>
        </w:rPr>
        <w:t xml:space="preserve">Property </w:t>
      </w:r>
      <w:r w:rsidR="00F273F6" w:rsidRPr="005C4C1A">
        <w:rPr>
          <w:b/>
          <w:bCs/>
        </w:rPr>
        <w:t>Purchase Initiative</w:t>
      </w:r>
      <w:r>
        <w:rPr>
          <w:b/>
          <w:bCs/>
        </w:rPr>
        <w:t xml:space="preserve"> for temporary accommodation</w:t>
      </w:r>
      <w:r w:rsidR="00F273F6" w:rsidRPr="005C4C1A">
        <w:rPr>
          <w:b/>
          <w:bCs/>
        </w:rPr>
        <w:t xml:space="preserve"> </w:t>
      </w:r>
    </w:p>
    <w:p w:rsidR="00E611F7" w:rsidRPr="00D70251" w:rsidRDefault="00F273F6" w:rsidP="00AA3B74">
      <w:pPr>
        <w:pStyle w:val="ListParagraph"/>
        <w:numPr>
          <w:ilvl w:val="0"/>
          <w:numId w:val="114"/>
        </w:numPr>
        <w:ind w:left="567" w:hanging="567"/>
        <w:jc w:val="both"/>
        <w:rPr>
          <w:rFonts w:cs="Arial"/>
        </w:rPr>
      </w:pPr>
      <w:r w:rsidRPr="001958B8">
        <w:rPr>
          <w:rFonts w:cs="Arial"/>
          <w:szCs w:val="24"/>
        </w:rPr>
        <w:t xml:space="preserve">£11.473m was spent </w:t>
      </w:r>
      <w:r w:rsidRPr="005C4C1A">
        <w:t>against a budget of £20.012m, a 57% spend</w:t>
      </w:r>
      <w:r w:rsidR="003D2716">
        <w:t xml:space="preserve"> and a variance of £8.539m</w:t>
      </w:r>
      <w:r w:rsidRPr="005C4C1A">
        <w:t xml:space="preserve">. </w:t>
      </w:r>
      <w:r w:rsidR="005E1743">
        <w:t>The £20.012m budget is split as £11.012</w:t>
      </w:r>
      <w:r w:rsidR="001958B8">
        <w:t>m</w:t>
      </w:r>
      <w:r w:rsidR="005E1743">
        <w:t xml:space="preserve"> for the first tranche of 100 homes and £9m for the second tranche of 50 homes</w:t>
      </w:r>
      <w:r w:rsidR="00E611F7">
        <w:t>.</w:t>
      </w:r>
      <w:r w:rsidR="005E1743">
        <w:t xml:space="preserve"> </w:t>
      </w:r>
    </w:p>
    <w:p w:rsidR="00E611F7" w:rsidRPr="00D70251" w:rsidRDefault="00E611F7" w:rsidP="00AA3B74">
      <w:pPr>
        <w:pStyle w:val="ListParagraph"/>
        <w:ind w:left="567"/>
        <w:jc w:val="both"/>
        <w:rPr>
          <w:rFonts w:cs="Arial"/>
        </w:rPr>
      </w:pPr>
    </w:p>
    <w:p w:rsidR="00E611F7" w:rsidRPr="00AA3B74" w:rsidRDefault="003D2716" w:rsidP="00AA3B74">
      <w:pPr>
        <w:pStyle w:val="ListParagraph"/>
        <w:numPr>
          <w:ilvl w:val="0"/>
          <w:numId w:val="114"/>
        </w:numPr>
        <w:ind w:left="567" w:hanging="567"/>
        <w:jc w:val="both"/>
        <w:rPr>
          <w:rFonts w:cs="Arial"/>
        </w:rPr>
      </w:pPr>
      <w:r>
        <w:t>N</w:t>
      </w:r>
      <w:r w:rsidR="00E611F7">
        <w:t xml:space="preserve">et variance of £8.539m is made up of slippage of </w:t>
      </w:r>
      <w:r w:rsidR="00E611F7" w:rsidRPr="005C4C1A">
        <w:t xml:space="preserve">£9m </w:t>
      </w:r>
      <w:r w:rsidR="00E611F7">
        <w:t xml:space="preserve">for the 50 homes which needs to be carried forward into 2018/19 and a £461k adverse variance </w:t>
      </w:r>
      <w:r>
        <w:t>for</w:t>
      </w:r>
      <w:r w:rsidR="00E611F7">
        <w:t xml:space="preserve"> the first 100 homes. </w:t>
      </w:r>
      <w:r w:rsidR="00E611F7" w:rsidRPr="005C4C1A">
        <w:t xml:space="preserve"> The first 100 properties have now all been acquired</w:t>
      </w:r>
      <w:r w:rsidR="00E611F7">
        <w:t>.  The £461k variance has arisen as there was an estimated saving of £3m made to the budget for the first 100 homes in 2016/17 as the estimated final cost at the time was felt more likely to be nearer to £27m than £30m.  However, the final saving was £2.539m as opposed to £3m, giving the £461k variance in 2017/18.</w:t>
      </w:r>
    </w:p>
    <w:p w:rsidR="003D2716" w:rsidRPr="00AA3B74" w:rsidRDefault="003D2716" w:rsidP="00AA3B74">
      <w:pPr>
        <w:pStyle w:val="ListParagraph"/>
        <w:rPr>
          <w:rFonts w:cs="Arial"/>
        </w:rPr>
      </w:pPr>
    </w:p>
    <w:p w:rsidR="003D2716" w:rsidRPr="00940CC4" w:rsidRDefault="003D2716" w:rsidP="00AA3B74">
      <w:pPr>
        <w:pStyle w:val="ListParagraph"/>
        <w:numPr>
          <w:ilvl w:val="0"/>
          <w:numId w:val="114"/>
        </w:numPr>
        <w:ind w:left="567" w:hanging="567"/>
        <w:jc w:val="both"/>
        <w:rPr>
          <w:rFonts w:cs="Arial"/>
        </w:rPr>
      </w:pPr>
      <w:r>
        <w:rPr>
          <w:rFonts w:cs="Arial"/>
        </w:rPr>
        <w:t xml:space="preserve">Other Housing General Fund projects - </w:t>
      </w:r>
      <w:r w:rsidRPr="00074EF4">
        <w:t>against a budget of £</w:t>
      </w:r>
      <w:r>
        <w:t>3.516</w:t>
      </w:r>
      <w:r w:rsidRPr="00074EF4">
        <w:t xml:space="preserve">m, a </w:t>
      </w:r>
      <w:r>
        <w:t>92</w:t>
      </w:r>
      <w:r w:rsidRPr="00074EF4">
        <w:t xml:space="preserve">% spend. </w:t>
      </w:r>
      <w:r>
        <w:t xml:space="preserve">Of this variance of £0.265m, </w:t>
      </w:r>
      <w:r w:rsidRPr="00074EF4">
        <w:t>£</w:t>
      </w:r>
      <w:r>
        <w:t>0.158m</w:t>
      </w:r>
      <w:r w:rsidRPr="00074EF4">
        <w:t xml:space="preserve"> of the variance has been slipped to 20</w:t>
      </w:r>
      <w:r>
        <w:t>18/19</w:t>
      </w:r>
      <w:r>
        <w:rPr>
          <w:rFonts w:eastAsiaTheme="minorHAnsi" w:cs="Arial"/>
          <w:sz w:val="22"/>
          <w:szCs w:val="22"/>
          <w:lang w:eastAsia="en-GB"/>
        </w:rPr>
        <w:t xml:space="preserve">, </w:t>
      </w:r>
      <w:r w:rsidRPr="000A566F">
        <w:rPr>
          <w:rFonts w:cs="Arial"/>
          <w:szCs w:val="24"/>
        </w:rPr>
        <w:t xml:space="preserve">with a net underspend of </w:t>
      </w:r>
      <w:r>
        <w:rPr>
          <w:rFonts w:cs="Arial"/>
          <w:szCs w:val="24"/>
        </w:rPr>
        <w:t>(</w:t>
      </w:r>
      <w:r w:rsidRPr="000A566F">
        <w:rPr>
          <w:rFonts w:cs="Arial"/>
          <w:szCs w:val="24"/>
        </w:rPr>
        <w:t>£</w:t>
      </w:r>
      <w:r>
        <w:rPr>
          <w:rFonts w:cs="Arial"/>
          <w:szCs w:val="24"/>
        </w:rPr>
        <w:t xml:space="preserve">0.107m) </w:t>
      </w:r>
      <w:r w:rsidRPr="000A566F">
        <w:rPr>
          <w:rFonts w:cs="Arial"/>
          <w:szCs w:val="24"/>
        </w:rPr>
        <w:t>on Empty Property Grants</w:t>
      </w:r>
      <w:r>
        <w:rPr>
          <w:rFonts w:cs="Arial"/>
          <w:szCs w:val="24"/>
        </w:rPr>
        <w:t xml:space="preserve"> and improvement Grant.</w:t>
      </w:r>
    </w:p>
    <w:p w:rsidR="00940CC4" w:rsidRPr="00940CC4" w:rsidRDefault="00940CC4" w:rsidP="00A37874">
      <w:pPr>
        <w:pStyle w:val="ListParagraph"/>
        <w:rPr>
          <w:rFonts w:cs="Arial"/>
        </w:rPr>
      </w:pPr>
    </w:p>
    <w:p w:rsidR="00685638" w:rsidRDefault="00685638" w:rsidP="00AA3B74">
      <w:pPr>
        <w:pStyle w:val="ListParagraph"/>
        <w:numPr>
          <w:ilvl w:val="0"/>
          <w:numId w:val="114"/>
        </w:numPr>
        <w:ind w:left="567" w:hanging="567"/>
        <w:jc w:val="both"/>
        <w:rPr>
          <w:rFonts w:cs="Arial"/>
        </w:rPr>
      </w:pPr>
      <w:r w:rsidRPr="00685638">
        <w:rPr>
          <w:rFonts w:cs="Arial"/>
        </w:rPr>
        <w:t>Slippage relates mainly to second phase of the Property Acquisition Programme being reviewed and therefore not being progressed in 2017/18. The revenue estimates for 2018/19 assume the additional Property Acquisition Programme properties for use as temporary accommodation. If this scheme does not progress this could result in higher revenue spend in 2018/19 on the more expensive temporary and emergency accommodation solutions like Bed &amp; Breakfast if alternative cheaper temporary accommodation supply is not brought forward</w:t>
      </w:r>
      <w:r>
        <w:rPr>
          <w:rFonts w:cs="Arial"/>
        </w:rPr>
        <w:t>.</w:t>
      </w:r>
    </w:p>
    <w:p w:rsidR="00685638" w:rsidRPr="00C91067" w:rsidRDefault="00685638" w:rsidP="00A37874">
      <w:pPr>
        <w:pStyle w:val="ListParagraph"/>
        <w:rPr>
          <w:rFonts w:cs="Arial"/>
        </w:rPr>
      </w:pPr>
    </w:p>
    <w:p w:rsidR="00E611F7" w:rsidRPr="00D70251" w:rsidRDefault="00E611F7" w:rsidP="00AA3B74">
      <w:pPr>
        <w:pStyle w:val="ListParagraph"/>
        <w:ind w:left="567"/>
        <w:jc w:val="both"/>
        <w:rPr>
          <w:rFonts w:cs="Arial"/>
        </w:rPr>
      </w:pPr>
    </w:p>
    <w:p w:rsidR="00F273F6" w:rsidRDefault="00F273F6">
      <w:pPr>
        <w:ind w:right="304"/>
        <w:jc w:val="both"/>
        <w:rPr>
          <w:rFonts w:cs="Arial"/>
          <w:b/>
          <w:szCs w:val="24"/>
        </w:rPr>
      </w:pPr>
      <w:r>
        <w:rPr>
          <w:rFonts w:cs="Arial"/>
          <w:b/>
          <w:szCs w:val="24"/>
        </w:rPr>
        <w:t>P</w:t>
      </w:r>
      <w:r w:rsidR="00151AAB">
        <w:rPr>
          <w:rFonts w:cs="Arial"/>
          <w:b/>
          <w:szCs w:val="24"/>
        </w:rPr>
        <w:t>eople Services</w:t>
      </w:r>
    </w:p>
    <w:p w:rsidR="00F273F6" w:rsidRPr="00074EF4" w:rsidRDefault="00F273F6">
      <w:pPr>
        <w:ind w:right="304"/>
        <w:jc w:val="both"/>
        <w:rPr>
          <w:rFonts w:cs="Arial"/>
          <w:b/>
          <w:szCs w:val="24"/>
        </w:rPr>
      </w:pPr>
    </w:p>
    <w:p w:rsidR="00F273F6" w:rsidRPr="00DD7468" w:rsidRDefault="00F273F6" w:rsidP="00AA3B74">
      <w:pPr>
        <w:pStyle w:val="ListParagraph"/>
        <w:numPr>
          <w:ilvl w:val="0"/>
          <w:numId w:val="114"/>
        </w:numPr>
        <w:ind w:left="567" w:hanging="567"/>
        <w:jc w:val="both"/>
        <w:rPr>
          <w:rFonts w:cs="Arial"/>
        </w:rPr>
      </w:pPr>
      <w:r w:rsidRPr="006F766E">
        <w:t>Th</w:t>
      </w:r>
      <w:r w:rsidR="003D2716">
        <w:t>e net position</w:t>
      </w:r>
      <w:r>
        <w:t xml:space="preserve"> for People’s Service</w:t>
      </w:r>
      <w:r w:rsidRPr="006F766E">
        <w:t xml:space="preserve"> is an outturn of £</w:t>
      </w:r>
      <w:r>
        <w:t>18.098</w:t>
      </w:r>
      <w:r w:rsidRPr="006F766E">
        <w:t>m against the budget of £</w:t>
      </w:r>
      <w:r>
        <w:t>36.267</w:t>
      </w:r>
      <w:r w:rsidRPr="006F766E">
        <w:t>m,</w:t>
      </w:r>
      <w:r>
        <w:t xml:space="preserve"> </w:t>
      </w:r>
      <w:r w:rsidRPr="006F766E">
        <w:t>a</w:t>
      </w:r>
      <w:r w:rsidR="003D2716">
        <w:t xml:space="preserve"> 50% spend,</w:t>
      </w:r>
      <w:r>
        <w:t xml:space="preserve"> </w:t>
      </w:r>
      <w:r w:rsidR="003D2716">
        <w:t>with a</w:t>
      </w:r>
      <w:r>
        <w:t xml:space="preserve"> </w:t>
      </w:r>
      <w:r w:rsidRPr="006F766E">
        <w:t xml:space="preserve">variance </w:t>
      </w:r>
      <w:r w:rsidR="003D2716">
        <w:t>of</w:t>
      </w:r>
      <w:r w:rsidRPr="006F766E">
        <w:t xml:space="preserve"> £</w:t>
      </w:r>
      <w:r>
        <w:t>18.169</w:t>
      </w:r>
      <w:r w:rsidRPr="006F766E">
        <w:t>m. (£</w:t>
      </w:r>
      <w:r>
        <w:t>18.435</w:t>
      </w:r>
      <w:r w:rsidRPr="006F766E">
        <w:t>m of slippage and £</w:t>
      </w:r>
      <w:r>
        <w:t>0.266</w:t>
      </w:r>
      <w:r w:rsidRPr="006F766E">
        <w:t xml:space="preserve">m </w:t>
      </w:r>
      <w:r>
        <w:t>over</w:t>
      </w:r>
      <w:r w:rsidRPr="006F766E">
        <w:t>spend</w:t>
      </w:r>
      <w:r>
        <w:t xml:space="preserve"> relating mostly to capital projects is fully funded by external funding</w:t>
      </w:r>
      <w:r w:rsidRPr="006F766E">
        <w:t>).</w:t>
      </w:r>
    </w:p>
    <w:p w:rsidR="005E473F" w:rsidRPr="00AE7967" w:rsidRDefault="005E473F" w:rsidP="00AA3B74">
      <w:pPr>
        <w:pStyle w:val="ListParagraph"/>
        <w:ind w:left="502"/>
        <w:jc w:val="both"/>
        <w:rPr>
          <w:rFonts w:cs="Arial"/>
        </w:rPr>
      </w:pPr>
    </w:p>
    <w:p w:rsidR="00F273F6" w:rsidRPr="00B906F7" w:rsidRDefault="00F273F6">
      <w:pPr>
        <w:ind w:left="14" w:right="304"/>
        <w:jc w:val="both"/>
        <w:rPr>
          <w:rFonts w:cs="Arial"/>
          <w:b/>
          <w:szCs w:val="24"/>
        </w:rPr>
      </w:pPr>
      <w:r w:rsidRPr="00B906F7">
        <w:rPr>
          <w:rFonts w:cs="Arial"/>
          <w:b/>
          <w:szCs w:val="24"/>
        </w:rPr>
        <w:t>Children</w:t>
      </w:r>
      <w:r>
        <w:rPr>
          <w:rFonts w:cs="Arial"/>
          <w:b/>
          <w:szCs w:val="24"/>
        </w:rPr>
        <w:t>’s Service</w:t>
      </w:r>
    </w:p>
    <w:p w:rsidR="00F273F6" w:rsidRDefault="00F273F6" w:rsidP="00AA3B74">
      <w:pPr>
        <w:pStyle w:val="ListParagraph"/>
        <w:numPr>
          <w:ilvl w:val="0"/>
          <w:numId w:val="114"/>
        </w:numPr>
        <w:ind w:left="567" w:hanging="567"/>
        <w:jc w:val="both"/>
        <w:rPr>
          <w:rFonts w:cs="Arial"/>
        </w:rPr>
      </w:pPr>
      <w:r w:rsidRPr="003E02E1">
        <w:rPr>
          <w:rFonts w:cs="Arial"/>
          <w:szCs w:val="24"/>
        </w:rPr>
        <w:t xml:space="preserve">The </w:t>
      </w:r>
      <w:r w:rsidRPr="003E02E1">
        <w:rPr>
          <w:rFonts w:cs="Arial"/>
        </w:rPr>
        <w:t xml:space="preserve">final outturn in 2017/18 for the schools capital programme is </w:t>
      </w:r>
      <w:proofErr w:type="gramStart"/>
      <w:r w:rsidRPr="003E02E1">
        <w:rPr>
          <w:rFonts w:cs="Arial"/>
        </w:rPr>
        <w:t>spend</w:t>
      </w:r>
      <w:proofErr w:type="gramEnd"/>
      <w:r w:rsidRPr="003E02E1">
        <w:rPr>
          <w:rFonts w:cs="Arial"/>
        </w:rPr>
        <w:t xml:space="preserve"> of £10.928m against a total budget of £27.975m. This represented expenditure of 39% against the budget. £17.517m of the variance has been slipped to 2018/19</w:t>
      </w:r>
      <w:r>
        <w:rPr>
          <w:rFonts w:cs="Arial"/>
        </w:rPr>
        <w:t>.</w:t>
      </w:r>
    </w:p>
    <w:p w:rsidR="00F273F6" w:rsidRDefault="00F273F6" w:rsidP="00AA3B74">
      <w:pPr>
        <w:pStyle w:val="ListParagraph"/>
        <w:ind w:left="360"/>
        <w:jc w:val="both"/>
        <w:rPr>
          <w:rFonts w:cs="Arial"/>
        </w:rPr>
      </w:pPr>
    </w:p>
    <w:p w:rsidR="00F273F6" w:rsidRDefault="00F273F6" w:rsidP="00AA3B74">
      <w:pPr>
        <w:pStyle w:val="ListParagraph"/>
        <w:suppressAutoHyphens/>
        <w:ind w:left="360"/>
        <w:jc w:val="both"/>
        <w:rPr>
          <w:rFonts w:cs="Arial"/>
          <w:b/>
          <w:szCs w:val="24"/>
          <w:lang w:eastAsia="ar-SA"/>
        </w:rPr>
      </w:pPr>
      <w:r w:rsidRPr="00F273F6">
        <w:rPr>
          <w:rFonts w:cs="Arial"/>
          <w:b/>
          <w:szCs w:val="24"/>
          <w:lang w:eastAsia="ar-SA"/>
        </w:rPr>
        <w:t xml:space="preserve">SLIPPAGE </w:t>
      </w:r>
    </w:p>
    <w:p w:rsidR="00F273F6" w:rsidRPr="00F273F6" w:rsidRDefault="00F273F6" w:rsidP="00AA3B74">
      <w:pPr>
        <w:pStyle w:val="ListParagraph"/>
        <w:numPr>
          <w:ilvl w:val="0"/>
          <w:numId w:val="114"/>
        </w:numPr>
        <w:suppressAutoHyphens/>
        <w:ind w:left="567" w:hanging="567"/>
        <w:jc w:val="both"/>
        <w:rPr>
          <w:rFonts w:cs="Arial"/>
          <w:szCs w:val="24"/>
          <w:lang w:eastAsia="ar-SA"/>
        </w:rPr>
      </w:pPr>
      <w:r w:rsidRPr="00F273F6">
        <w:rPr>
          <w:rFonts w:cs="Arial"/>
          <w:szCs w:val="24"/>
          <w:lang w:eastAsia="ar-SA"/>
        </w:rPr>
        <w:t>The reported slippage for 2017/18 is £17.517m.</w:t>
      </w:r>
      <w:r w:rsidR="000E15CC">
        <w:rPr>
          <w:rFonts w:cs="Arial"/>
          <w:szCs w:val="24"/>
          <w:lang w:eastAsia="ar-SA"/>
        </w:rPr>
        <w:t xml:space="preserve"> There are no </w:t>
      </w:r>
      <w:r w:rsidR="00BE2DC6">
        <w:rPr>
          <w:rFonts w:cs="Arial"/>
          <w:szCs w:val="24"/>
          <w:lang w:eastAsia="ar-SA"/>
        </w:rPr>
        <w:t>revenue</w:t>
      </w:r>
      <w:r w:rsidR="000E15CC">
        <w:rPr>
          <w:rFonts w:cs="Arial"/>
          <w:szCs w:val="24"/>
          <w:lang w:eastAsia="ar-SA"/>
        </w:rPr>
        <w:t xml:space="preserve"> implications as a result of this slippage.</w:t>
      </w:r>
      <w:r w:rsidRPr="00F273F6">
        <w:rPr>
          <w:rFonts w:cs="Arial"/>
          <w:szCs w:val="24"/>
          <w:lang w:eastAsia="ar-SA"/>
        </w:rPr>
        <w:t xml:space="preserve"> The majority of these items are set out as follows;</w:t>
      </w:r>
    </w:p>
    <w:p w:rsidR="00F273F6" w:rsidRPr="00A34E8D" w:rsidRDefault="00F273F6" w:rsidP="00AA3B74">
      <w:pPr>
        <w:autoSpaceDE w:val="0"/>
        <w:autoSpaceDN w:val="0"/>
        <w:adjustRightInd w:val="0"/>
        <w:jc w:val="both"/>
        <w:rPr>
          <w:rFonts w:cs="Arial"/>
          <w:color w:val="000000"/>
          <w:szCs w:val="24"/>
          <w:lang w:eastAsia="en-GB"/>
        </w:rPr>
      </w:pPr>
    </w:p>
    <w:p w:rsidR="00F273F6" w:rsidRDefault="00F273F6" w:rsidP="00AA3B74">
      <w:pPr>
        <w:pStyle w:val="ListParagraph"/>
        <w:numPr>
          <w:ilvl w:val="0"/>
          <w:numId w:val="113"/>
        </w:numPr>
        <w:autoSpaceDE w:val="0"/>
        <w:autoSpaceDN w:val="0"/>
        <w:adjustRightInd w:val="0"/>
        <w:jc w:val="both"/>
        <w:rPr>
          <w:rFonts w:cs="Arial"/>
          <w:color w:val="000000"/>
          <w:szCs w:val="24"/>
          <w:lang w:eastAsia="en-GB"/>
        </w:rPr>
      </w:pPr>
      <w:r w:rsidRPr="004E7384">
        <w:rPr>
          <w:rFonts w:cs="Arial"/>
          <w:color w:val="000000"/>
          <w:szCs w:val="24"/>
          <w:lang w:eastAsia="en-GB"/>
        </w:rPr>
        <w:t xml:space="preserve">£2.625m relates to funding set aside for secondary expansions. As reported to Cabinet in June 2017 the projections for Year 7 places continue to show a lower trajectory of increase than the 2015 projections. With the current number of places available there will be a shortfall of 4 to 5 forms of entry in 2022/23. This reduces to 3-5 forms of entry in 2027/28. However, at this time there are a higher number of Year 7 places than required which is resulting in vacancies being concentrated in a small number of </w:t>
      </w:r>
      <w:proofErr w:type="gramStart"/>
      <w:r w:rsidRPr="004E7384">
        <w:rPr>
          <w:rFonts w:cs="Arial"/>
          <w:color w:val="000000"/>
          <w:szCs w:val="24"/>
          <w:lang w:eastAsia="en-GB"/>
        </w:rPr>
        <w:t>schools.</w:t>
      </w:r>
      <w:proofErr w:type="gramEnd"/>
      <w:r w:rsidRPr="004E7384">
        <w:rPr>
          <w:rFonts w:cs="Arial"/>
          <w:color w:val="000000"/>
          <w:szCs w:val="24"/>
          <w:lang w:eastAsia="en-GB"/>
        </w:rPr>
        <w:t xml:space="preserve"> It is proposed to slip the funding to 2019-20 and ensure that the situation is monitored and that once there is greater clarity about changes on the borough boundaries that a local solution to meet the growing need is developed with the High Schools.</w:t>
      </w:r>
    </w:p>
    <w:p w:rsidR="00F273F6" w:rsidRDefault="00F273F6" w:rsidP="00AA3B74">
      <w:pPr>
        <w:pStyle w:val="ListParagraph"/>
        <w:autoSpaceDE w:val="0"/>
        <w:autoSpaceDN w:val="0"/>
        <w:adjustRightInd w:val="0"/>
        <w:jc w:val="both"/>
        <w:rPr>
          <w:rFonts w:cs="Arial"/>
          <w:color w:val="000000"/>
          <w:szCs w:val="24"/>
          <w:lang w:eastAsia="en-GB"/>
        </w:rPr>
      </w:pPr>
    </w:p>
    <w:p w:rsidR="00F273F6" w:rsidRDefault="00F273F6" w:rsidP="00AA3B74">
      <w:pPr>
        <w:pStyle w:val="ListParagraph"/>
        <w:numPr>
          <w:ilvl w:val="0"/>
          <w:numId w:val="113"/>
        </w:numPr>
        <w:jc w:val="both"/>
        <w:rPr>
          <w:rFonts w:cs="Arial"/>
          <w:szCs w:val="24"/>
        </w:rPr>
      </w:pPr>
      <w:r w:rsidRPr="006C191D">
        <w:rPr>
          <w:rFonts w:cs="Arial"/>
          <w:szCs w:val="24"/>
        </w:rPr>
        <w:t>The majority of slippage relates to SEP2 (including secondary and SEN) of £6.363m due to the ongoing contractual issues.</w:t>
      </w:r>
    </w:p>
    <w:p w:rsidR="00F273F6" w:rsidRPr="005C4C1A" w:rsidRDefault="00F273F6" w:rsidP="00AA3B74">
      <w:pPr>
        <w:pStyle w:val="ListParagraph"/>
        <w:jc w:val="both"/>
        <w:rPr>
          <w:rFonts w:cs="Arial"/>
          <w:szCs w:val="24"/>
        </w:rPr>
      </w:pPr>
    </w:p>
    <w:p w:rsidR="00F273F6" w:rsidRPr="004E7384" w:rsidRDefault="00F273F6" w:rsidP="00AA3B74">
      <w:pPr>
        <w:pStyle w:val="ListParagraph"/>
        <w:numPr>
          <w:ilvl w:val="0"/>
          <w:numId w:val="113"/>
        </w:numPr>
        <w:autoSpaceDE w:val="0"/>
        <w:autoSpaceDN w:val="0"/>
        <w:adjustRightInd w:val="0"/>
        <w:jc w:val="both"/>
        <w:rPr>
          <w:rFonts w:cs="Arial"/>
          <w:color w:val="000000"/>
          <w:szCs w:val="24"/>
          <w:lang w:eastAsia="en-GB"/>
        </w:rPr>
      </w:pPr>
      <w:r w:rsidRPr="004E7384">
        <w:rPr>
          <w:rFonts w:cs="Arial"/>
          <w:color w:val="000000"/>
          <w:szCs w:val="24"/>
          <w:lang w:eastAsia="en-GB"/>
        </w:rPr>
        <w:t xml:space="preserve">SEP3 slippage totals £3.627m. This is the final project in SEP3 and relates to </w:t>
      </w:r>
      <w:proofErr w:type="spellStart"/>
      <w:r w:rsidRPr="004E7384">
        <w:rPr>
          <w:rFonts w:cs="Arial"/>
          <w:color w:val="000000"/>
          <w:szCs w:val="24"/>
          <w:lang w:eastAsia="en-GB"/>
        </w:rPr>
        <w:t>Welldon</w:t>
      </w:r>
      <w:proofErr w:type="spellEnd"/>
      <w:r w:rsidRPr="004E7384">
        <w:rPr>
          <w:rFonts w:cs="Arial"/>
          <w:color w:val="000000"/>
          <w:szCs w:val="24"/>
          <w:lang w:eastAsia="en-GB"/>
        </w:rPr>
        <w:t xml:space="preserve"> Park Junior School. Work is anticipated to start on site in February 2018 and completed by October/November 2018. The slippage does not impact on the school as the expanded year groups are still working through the infant school which is on a different site.</w:t>
      </w:r>
    </w:p>
    <w:p w:rsidR="00F273F6" w:rsidRPr="004E7384" w:rsidRDefault="00F273F6" w:rsidP="00AA3B74">
      <w:pPr>
        <w:pStyle w:val="ListParagraph"/>
        <w:jc w:val="both"/>
        <w:rPr>
          <w:rFonts w:cs="Arial"/>
          <w:b/>
          <w:color w:val="000000"/>
          <w:szCs w:val="24"/>
          <w:lang w:eastAsia="en-GB"/>
        </w:rPr>
      </w:pPr>
    </w:p>
    <w:p w:rsidR="00F273F6" w:rsidRDefault="00F273F6" w:rsidP="00AA3B74">
      <w:pPr>
        <w:pStyle w:val="ListParagraph"/>
        <w:numPr>
          <w:ilvl w:val="0"/>
          <w:numId w:val="113"/>
        </w:numPr>
        <w:autoSpaceDE w:val="0"/>
        <w:autoSpaceDN w:val="0"/>
        <w:adjustRightInd w:val="0"/>
        <w:jc w:val="both"/>
        <w:rPr>
          <w:rFonts w:cs="Arial"/>
          <w:color w:val="000000"/>
          <w:szCs w:val="24"/>
          <w:lang w:eastAsia="en-GB"/>
        </w:rPr>
      </w:pPr>
      <w:r w:rsidRPr="004E7384">
        <w:rPr>
          <w:rFonts w:cs="Arial"/>
          <w:color w:val="000000"/>
          <w:szCs w:val="24"/>
          <w:lang w:eastAsia="en-GB"/>
        </w:rPr>
        <w:t>Special Educational Needs provision slippage totals £0.975m. Funding has been included in the capital programme to support additional in-borough SEN provision which is currently being reviewed and scoped. The outcome of the review will inform any decisions about future provision but will not be spent until 2018-19.</w:t>
      </w:r>
    </w:p>
    <w:p w:rsidR="00F273F6" w:rsidRDefault="00F273F6" w:rsidP="00AA3B74">
      <w:pPr>
        <w:pStyle w:val="ListParagraph"/>
        <w:autoSpaceDE w:val="0"/>
        <w:autoSpaceDN w:val="0"/>
        <w:adjustRightInd w:val="0"/>
        <w:jc w:val="both"/>
        <w:rPr>
          <w:rFonts w:cs="Arial"/>
          <w:color w:val="000000"/>
          <w:szCs w:val="24"/>
          <w:lang w:eastAsia="en-GB"/>
        </w:rPr>
      </w:pPr>
    </w:p>
    <w:p w:rsidR="00F273F6" w:rsidRDefault="00F273F6" w:rsidP="00AA3B74">
      <w:pPr>
        <w:pStyle w:val="ListParagraph"/>
        <w:numPr>
          <w:ilvl w:val="0"/>
          <w:numId w:val="113"/>
        </w:numPr>
        <w:autoSpaceDE w:val="0"/>
        <w:autoSpaceDN w:val="0"/>
        <w:adjustRightInd w:val="0"/>
        <w:jc w:val="both"/>
        <w:rPr>
          <w:rFonts w:cs="Arial"/>
          <w:color w:val="000000"/>
          <w:szCs w:val="24"/>
          <w:lang w:eastAsia="en-GB"/>
        </w:rPr>
      </w:pPr>
      <w:r w:rsidRPr="005C4C1A">
        <w:rPr>
          <w:rFonts w:cs="Arial"/>
          <w:color w:val="000000"/>
          <w:szCs w:val="24"/>
          <w:lang w:eastAsia="en-GB"/>
        </w:rPr>
        <w:t>The remainder of the slippage is for IT and funding for bulge classes were not needed this financial year.</w:t>
      </w:r>
    </w:p>
    <w:p w:rsidR="00B23BC2" w:rsidRPr="00AA3B74" w:rsidRDefault="00B23BC2" w:rsidP="00AA3B74">
      <w:pPr>
        <w:pStyle w:val="ListParagraph"/>
        <w:jc w:val="both"/>
        <w:rPr>
          <w:rFonts w:cs="Arial"/>
          <w:color w:val="000000"/>
          <w:szCs w:val="24"/>
          <w:lang w:eastAsia="en-GB"/>
        </w:rPr>
      </w:pPr>
    </w:p>
    <w:p w:rsidR="00B23BC2" w:rsidRDefault="00B23BC2" w:rsidP="00AA3B74">
      <w:pPr>
        <w:pStyle w:val="ListParagraph"/>
        <w:autoSpaceDE w:val="0"/>
        <w:autoSpaceDN w:val="0"/>
        <w:adjustRightInd w:val="0"/>
        <w:ind w:left="1080"/>
        <w:jc w:val="both"/>
        <w:rPr>
          <w:rFonts w:cs="Arial"/>
          <w:color w:val="000000"/>
          <w:szCs w:val="24"/>
          <w:lang w:eastAsia="en-GB"/>
        </w:rPr>
      </w:pPr>
    </w:p>
    <w:p w:rsidR="00F273F6" w:rsidRDefault="00F273F6" w:rsidP="00AA3B74">
      <w:pPr>
        <w:autoSpaceDE w:val="0"/>
        <w:autoSpaceDN w:val="0"/>
        <w:adjustRightInd w:val="0"/>
        <w:ind w:firstLine="360"/>
        <w:jc w:val="both"/>
        <w:rPr>
          <w:rFonts w:cs="Arial"/>
          <w:b/>
          <w:color w:val="000000"/>
          <w:szCs w:val="24"/>
          <w:lang w:eastAsia="en-GB"/>
        </w:rPr>
      </w:pPr>
      <w:r w:rsidRPr="005C4C1A">
        <w:rPr>
          <w:rFonts w:cs="Arial"/>
          <w:b/>
          <w:color w:val="000000"/>
          <w:szCs w:val="24"/>
          <w:lang w:eastAsia="en-GB"/>
        </w:rPr>
        <w:t>Secondary Expansion Programme 1 and 2 including Secondary and SEN</w:t>
      </w:r>
    </w:p>
    <w:p w:rsidR="00F273F6" w:rsidRDefault="00F273F6" w:rsidP="00AA3B74">
      <w:pPr>
        <w:pStyle w:val="ListParagraph"/>
        <w:numPr>
          <w:ilvl w:val="0"/>
          <w:numId w:val="114"/>
        </w:numPr>
        <w:autoSpaceDE w:val="0"/>
        <w:autoSpaceDN w:val="0"/>
        <w:adjustRightInd w:val="0"/>
        <w:ind w:left="567" w:hanging="567"/>
        <w:jc w:val="both"/>
        <w:rPr>
          <w:rFonts w:cs="Arial"/>
          <w:color w:val="000000"/>
          <w:szCs w:val="24"/>
          <w:lang w:eastAsia="en-GB"/>
        </w:rPr>
      </w:pPr>
      <w:r w:rsidRPr="00ED504C">
        <w:rPr>
          <w:rFonts w:cs="Arial"/>
          <w:color w:val="000000"/>
          <w:szCs w:val="24"/>
          <w:lang w:eastAsia="en-GB"/>
        </w:rPr>
        <w:t>Keepmoat, the Council’s Framework Partner was commissioned to deliver the majority of the Phase 1 (SEP1) and Phase 2 (SEP2) construction projects.  The projects in SEP1 and SEP2 have reached Project Completion and the schools are occupying their new accommodation. The Children’s Capital Project Team is working to resolve a number of building defects with Keepmoat post completion. There are on-going contractual issues with Keepmoat and the council has appointed Legal and Commercial advisers to secure resolution</w:t>
      </w:r>
      <w:r>
        <w:rPr>
          <w:rFonts w:cs="Arial"/>
          <w:color w:val="000000"/>
          <w:szCs w:val="24"/>
          <w:lang w:eastAsia="en-GB"/>
        </w:rPr>
        <w:t>.</w:t>
      </w:r>
    </w:p>
    <w:p w:rsidR="00F273F6" w:rsidRDefault="00F273F6" w:rsidP="00AA3B74">
      <w:pPr>
        <w:autoSpaceDE w:val="0"/>
        <w:autoSpaceDN w:val="0"/>
        <w:adjustRightInd w:val="0"/>
        <w:ind w:firstLine="426"/>
        <w:jc w:val="both"/>
        <w:rPr>
          <w:rFonts w:cs="Arial"/>
          <w:b/>
          <w:color w:val="000000"/>
          <w:szCs w:val="24"/>
          <w:lang w:eastAsia="en-GB"/>
        </w:rPr>
      </w:pPr>
    </w:p>
    <w:p w:rsidR="00F273F6" w:rsidRDefault="00F273F6" w:rsidP="00AA3B74">
      <w:pPr>
        <w:autoSpaceDE w:val="0"/>
        <w:autoSpaceDN w:val="0"/>
        <w:adjustRightInd w:val="0"/>
        <w:ind w:firstLine="426"/>
        <w:jc w:val="both"/>
        <w:rPr>
          <w:rFonts w:cs="Arial"/>
          <w:b/>
          <w:color w:val="000000"/>
          <w:szCs w:val="24"/>
          <w:lang w:eastAsia="en-GB"/>
        </w:rPr>
      </w:pPr>
      <w:r w:rsidRPr="006F766E">
        <w:rPr>
          <w:rFonts w:cs="Arial"/>
          <w:b/>
          <w:color w:val="000000"/>
          <w:szCs w:val="24"/>
          <w:lang w:eastAsia="en-GB"/>
        </w:rPr>
        <w:t>Secondary Expansion Programme 3</w:t>
      </w:r>
    </w:p>
    <w:p w:rsidR="00F273F6" w:rsidRPr="00AA3B74" w:rsidRDefault="00F273F6" w:rsidP="00AA3B74">
      <w:pPr>
        <w:pStyle w:val="ListParagraph"/>
        <w:numPr>
          <w:ilvl w:val="0"/>
          <w:numId w:val="114"/>
        </w:numPr>
        <w:ind w:left="567" w:hanging="567"/>
        <w:jc w:val="both"/>
        <w:rPr>
          <w:rFonts w:cs="Arial"/>
          <w:szCs w:val="24"/>
        </w:rPr>
      </w:pPr>
      <w:r w:rsidRPr="00AA3B74">
        <w:rPr>
          <w:rFonts w:cs="Arial"/>
          <w:szCs w:val="24"/>
        </w:rPr>
        <w:t xml:space="preserve">Following procurement processes, </w:t>
      </w:r>
      <w:proofErr w:type="spellStart"/>
      <w:r w:rsidRPr="00AA3B74">
        <w:rPr>
          <w:rFonts w:cs="Arial"/>
          <w:szCs w:val="24"/>
        </w:rPr>
        <w:t>Arcadis</w:t>
      </w:r>
      <w:proofErr w:type="spellEnd"/>
      <w:r w:rsidRPr="00AA3B74">
        <w:rPr>
          <w:rFonts w:cs="Arial"/>
          <w:szCs w:val="24"/>
        </w:rPr>
        <w:t xml:space="preserve"> were appointed as Technical Advisers and Willmott Dixon as the single supplier from the SCAPE framework for the SEP3 projects.  The SCAPE framework is local authority owned and specialises in school construction. There are four school expansions over five school sites. Four of the projects are completed and the final scheme is scheduled to commence in February 2018. The majority of this project will therefore slip into 2018-19. In addition, Weald Rise is being rebuilt by the Priority Schools Building Programme (PSBP) and the LA is providing a top up to expand the school to 4 forms of entry</w:t>
      </w:r>
      <w:r w:rsidR="00F14B61">
        <w:rPr>
          <w:rFonts w:cs="Arial"/>
          <w:szCs w:val="24"/>
        </w:rPr>
        <w:t>.</w:t>
      </w:r>
    </w:p>
    <w:p w:rsidR="00913E33" w:rsidRDefault="00913E33" w:rsidP="00AA3B74">
      <w:pPr>
        <w:pStyle w:val="ListParagraph"/>
        <w:ind w:left="567"/>
        <w:jc w:val="both"/>
        <w:rPr>
          <w:rFonts w:cs="Arial"/>
          <w:b/>
          <w:szCs w:val="24"/>
        </w:rPr>
      </w:pPr>
    </w:p>
    <w:p w:rsidR="00EC2497" w:rsidRDefault="00EC2497" w:rsidP="00AA3B74">
      <w:pPr>
        <w:pStyle w:val="ListParagraph"/>
        <w:ind w:left="567"/>
        <w:jc w:val="both"/>
        <w:rPr>
          <w:rFonts w:cs="Arial"/>
          <w:b/>
          <w:szCs w:val="24"/>
        </w:rPr>
      </w:pPr>
      <w:r w:rsidRPr="00AA3B74">
        <w:rPr>
          <w:rFonts w:cs="Arial"/>
          <w:b/>
          <w:szCs w:val="24"/>
        </w:rPr>
        <w:t>Adult Services</w:t>
      </w:r>
    </w:p>
    <w:p w:rsidR="00EC2497" w:rsidRPr="00AA3B74" w:rsidRDefault="003D21A4" w:rsidP="00AA3B74">
      <w:pPr>
        <w:pStyle w:val="ListParagraph"/>
        <w:numPr>
          <w:ilvl w:val="0"/>
          <w:numId w:val="114"/>
        </w:numPr>
        <w:ind w:left="567" w:hanging="567"/>
        <w:jc w:val="both"/>
        <w:rPr>
          <w:rFonts w:cs="Arial"/>
          <w:szCs w:val="24"/>
        </w:rPr>
      </w:pPr>
      <w:r w:rsidRPr="00AA3B74">
        <w:rPr>
          <w:rFonts w:cs="Arial"/>
          <w:szCs w:val="24"/>
        </w:rPr>
        <w:t>The service</w:t>
      </w:r>
      <w:r w:rsidR="00EC2497" w:rsidRPr="00AA3B74">
        <w:rPr>
          <w:rFonts w:cs="Arial"/>
          <w:szCs w:val="24"/>
        </w:rPr>
        <w:t xml:space="preserve"> spent £</w:t>
      </w:r>
      <w:r w:rsidR="00D26244" w:rsidRPr="00DD7468">
        <w:rPr>
          <w:rFonts w:cs="Arial"/>
          <w:szCs w:val="24"/>
        </w:rPr>
        <w:t>7.170m</w:t>
      </w:r>
      <w:r w:rsidR="00EC2497" w:rsidRPr="00AE7967">
        <w:rPr>
          <w:rFonts w:cs="Arial"/>
          <w:szCs w:val="24"/>
        </w:rPr>
        <w:t xml:space="preserve"> against a budget of £</w:t>
      </w:r>
      <w:r w:rsidR="00D26244" w:rsidRPr="00AE7967">
        <w:rPr>
          <w:rFonts w:cs="Arial"/>
          <w:szCs w:val="24"/>
        </w:rPr>
        <w:t>8.293</w:t>
      </w:r>
      <w:r w:rsidR="00EC2497" w:rsidRPr="00AE7967">
        <w:rPr>
          <w:rFonts w:cs="Arial"/>
          <w:szCs w:val="24"/>
        </w:rPr>
        <w:t xml:space="preserve">m, </w:t>
      </w:r>
      <w:proofErr w:type="gramStart"/>
      <w:r w:rsidR="00EC2497" w:rsidRPr="00AE7967">
        <w:rPr>
          <w:rFonts w:cs="Arial"/>
          <w:szCs w:val="24"/>
        </w:rPr>
        <w:t>a</w:t>
      </w:r>
      <w:proofErr w:type="gramEnd"/>
      <w:r w:rsidR="00EC2497" w:rsidRPr="00AE7967">
        <w:rPr>
          <w:rFonts w:cs="Arial"/>
          <w:szCs w:val="24"/>
        </w:rPr>
        <w:t xml:space="preserve"> </w:t>
      </w:r>
      <w:r w:rsidR="00D26244" w:rsidRPr="00574196">
        <w:rPr>
          <w:rFonts w:cs="Arial"/>
          <w:szCs w:val="24"/>
        </w:rPr>
        <w:t>86</w:t>
      </w:r>
      <w:r w:rsidR="00EC2497" w:rsidRPr="00574196">
        <w:rPr>
          <w:rFonts w:cs="Arial"/>
          <w:szCs w:val="24"/>
        </w:rPr>
        <w:t>% spend</w:t>
      </w:r>
      <w:r w:rsidR="003D2716">
        <w:rPr>
          <w:rFonts w:cs="Arial"/>
          <w:szCs w:val="24"/>
        </w:rPr>
        <w:t>, with a</w:t>
      </w:r>
      <w:r w:rsidR="00D26244" w:rsidRPr="004A099C">
        <w:rPr>
          <w:rFonts w:cs="Arial"/>
          <w:szCs w:val="24"/>
        </w:rPr>
        <w:t xml:space="preserve"> variance of £1.123m (</w:t>
      </w:r>
      <w:r w:rsidR="00EC2497" w:rsidRPr="00642241">
        <w:rPr>
          <w:rFonts w:cs="Arial"/>
          <w:szCs w:val="24"/>
        </w:rPr>
        <w:t>£</w:t>
      </w:r>
      <w:r w:rsidR="00D26244" w:rsidRPr="00642241">
        <w:rPr>
          <w:rFonts w:cs="Arial"/>
          <w:szCs w:val="24"/>
        </w:rPr>
        <w:t>0</w:t>
      </w:r>
      <w:r w:rsidR="00EC2497" w:rsidRPr="0000141B">
        <w:rPr>
          <w:rFonts w:cs="Arial"/>
          <w:szCs w:val="24"/>
        </w:rPr>
        <w:t>.</w:t>
      </w:r>
      <w:r w:rsidR="00D26244" w:rsidRPr="0000141B">
        <w:rPr>
          <w:rFonts w:cs="Arial"/>
          <w:szCs w:val="24"/>
        </w:rPr>
        <w:t>918</w:t>
      </w:r>
      <w:r w:rsidR="00EC2497" w:rsidRPr="006571C0">
        <w:rPr>
          <w:rFonts w:cs="Arial"/>
          <w:szCs w:val="24"/>
        </w:rPr>
        <w:t xml:space="preserve">m </w:t>
      </w:r>
      <w:r w:rsidR="003D2716">
        <w:rPr>
          <w:rFonts w:cs="Arial"/>
          <w:szCs w:val="24"/>
        </w:rPr>
        <w:t xml:space="preserve">relating to </w:t>
      </w:r>
      <w:r w:rsidR="00D26244" w:rsidRPr="007C3772">
        <w:rPr>
          <w:rFonts w:cs="Arial"/>
          <w:szCs w:val="24"/>
        </w:rPr>
        <w:t>slipp</w:t>
      </w:r>
      <w:r w:rsidR="00220B2B" w:rsidRPr="007C3772">
        <w:rPr>
          <w:rFonts w:cs="Arial"/>
          <w:szCs w:val="24"/>
        </w:rPr>
        <w:t>age</w:t>
      </w:r>
      <w:r w:rsidR="00D26244" w:rsidRPr="007C3772">
        <w:rPr>
          <w:rFonts w:cs="Arial"/>
          <w:szCs w:val="24"/>
        </w:rPr>
        <w:t xml:space="preserve"> and </w:t>
      </w:r>
      <w:r w:rsidR="003D2716">
        <w:rPr>
          <w:rFonts w:cs="Arial"/>
          <w:szCs w:val="24"/>
        </w:rPr>
        <w:t xml:space="preserve">a </w:t>
      </w:r>
      <w:r w:rsidR="00EC2497" w:rsidRPr="00F44DDC">
        <w:rPr>
          <w:rFonts w:cs="Arial"/>
          <w:szCs w:val="24"/>
        </w:rPr>
        <w:t>£</w:t>
      </w:r>
      <w:r w:rsidR="00D26244" w:rsidRPr="00F44DDC">
        <w:rPr>
          <w:rFonts w:cs="Arial"/>
          <w:szCs w:val="24"/>
        </w:rPr>
        <w:t xml:space="preserve">0.204 </w:t>
      </w:r>
      <w:r w:rsidR="003D2716">
        <w:rPr>
          <w:rFonts w:cs="Arial"/>
          <w:szCs w:val="24"/>
        </w:rPr>
        <w:t>net underspend</w:t>
      </w:r>
      <w:r w:rsidR="00220B2B" w:rsidRPr="00FF6707">
        <w:rPr>
          <w:rFonts w:cs="Arial"/>
          <w:szCs w:val="24"/>
        </w:rPr>
        <w:t xml:space="preserve">). </w:t>
      </w:r>
      <w:r w:rsidR="00EC2497" w:rsidRPr="0038627D">
        <w:rPr>
          <w:rFonts w:cs="Arial"/>
          <w:szCs w:val="24"/>
        </w:rPr>
        <w:t xml:space="preserve">The </w:t>
      </w:r>
      <w:r w:rsidR="00220B2B" w:rsidRPr="00D70251">
        <w:rPr>
          <w:rFonts w:cs="Arial"/>
          <w:szCs w:val="24"/>
        </w:rPr>
        <w:t>slippage relates to the following;</w:t>
      </w:r>
    </w:p>
    <w:p w:rsidR="00F55530" w:rsidRPr="00F123C0" w:rsidRDefault="00F55530" w:rsidP="00AA3B74">
      <w:pPr>
        <w:pStyle w:val="ListParagraph"/>
        <w:suppressAutoHyphens/>
        <w:autoSpaceDE w:val="0"/>
        <w:autoSpaceDN w:val="0"/>
        <w:adjustRightInd w:val="0"/>
        <w:spacing w:after="37"/>
        <w:ind w:left="360"/>
        <w:jc w:val="both"/>
        <w:rPr>
          <w:rFonts w:cs="Arial"/>
          <w:b/>
          <w:color w:val="000000"/>
          <w:szCs w:val="24"/>
          <w:lang w:eastAsia="en-GB"/>
        </w:rPr>
      </w:pPr>
    </w:p>
    <w:p w:rsidR="001F0962" w:rsidRDefault="001F0962" w:rsidP="00AA3B74">
      <w:pPr>
        <w:pStyle w:val="ListParagraph"/>
        <w:numPr>
          <w:ilvl w:val="0"/>
          <w:numId w:val="96"/>
        </w:numPr>
        <w:suppressAutoHyphens/>
        <w:autoSpaceDE w:val="0"/>
        <w:autoSpaceDN w:val="0"/>
        <w:adjustRightInd w:val="0"/>
        <w:spacing w:after="37"/>
        <w:ind w:left="1134" w:hanging="425"/>
        <w:contextualSpacing w:val="0"/>
        <w:jc w:val="both"/>
        <w:rPr>
          <w:rFonts w:cs="Arial"/>
          <w:color w:val="000000"/>
          <w:szCs w:val="24"/>
          <w:lang w:eastAsia="en-GB"/>
        </w:rPr>
      </w:pPr>
      <w:r w:rsidRPr="004E7384">
        <w:rPr>
          <w:rFonts w:cs="Arial"/>
          <w:color w:val="000000"/>
          <w:szCs w:val="24"/>
          <w:lang w:eastAsia="en-GB"/>
        </w:rPr>
        <w:t>Project Infinity (£370k) – funding for ongoing development work including interface, licence and migration of data from OCC.</w:t>
      </w:r>
    </w:p>
    <w:p w:rsidR="00C76047" w:rsidRDefault="00C76047" w:rsidP="00AA3B74">
      <w:pPr>
        <w:pStyle w:val="ListParagraph"/>
        <w:suppressAutoHyphens/>
        <w:autoSpaceDE w:val="0"/>
        <w:autoSpaceDN w:val="0"/>
        <w:adjustRightInd w:val="0"/>
        <w:spacing w:after="37"/>
        <w:ind w:left="1134"/>
        <w:contextualSpacing w:val="0"/>
        <w:jc w:val="both"/>
        <w:rPr>
          <w:rFonts w:cs="Arial"/>
          <w:color w:val="000000"/>
          <w:szCs w:val="24"/>
          <w:lang w:eastAsia="en-GB"/>
        </w:rPr>
      </w:pPr>
    </w:p>
    <w:p w:rsidR="00F55530" w:rsidRDefault="00F55530">
      <w:pPr>
        <w:pStyle w:val="ListParagraph"/>
        <w:numPr>
          <w:ilvl w:val="0"/>
          <w:numId w:val="96"/>
        </w:numPr>
        <w:suppressAutoHyphens/>
        <w:autoSpaceDE w:val="0"/>
        <w:autoSpaceDN w:val="0"/>
        <w:adjustRightInd w:val="0"/>
        <w:spacing w:after="37"/>
        <w:ind w:left="1134" w:hanging="425"/>
        <w:contextualSpacing w:val="0"/>
        <w:jc w:val="both"/>
        <w:rPr>
          <w:rFonts w:cs="Arial"/>
          <w:color w:val="000000"/>
          <w:szCs w:val="24"/>
          <w:lang w:eastAsia="en-GB"/>
        </w:rPr>
      </w:pPr>
      <w:r w:rsidRPr="00F55530">
        <w:rPr>
          <w:rFonts w:cs="Arial"/>
          <w:color w:val="000000"/>
          <w:szCs w:val="24"/>
          <w:lang w:eastAsia="en-GB"/>
        </w:rPr>
        <w:t>Integrated Health Model (£85k) carry forward represents funding for Continuation of N3 work to achieve 90% + NHS Number identifier for Adults and Children</w:t>
      </w:r>
      <w:r w:rsidR="005314CD">
        <w:rPr>
          <w:rFonts w:cs="Arial"/>
          <w:color w:val="000000"/>
          <w:szCs w:val="24"/>
          <w:lang w:eastAsia="en-GB"/>
        </w:rPr>
        <w:t>’</w:t>
      </w:r>
      <w:r w:rsidRPr="00F55530">
        <w:rPr>
          <w:rFonts w:cs="Arial"/>
          <w:color w:val="000000"/>
          <w:szCs w:val="24"/>
          <w:lang w:eastAsia="en-GB"/>
        </w:rPr>
        <w:t xml:space="preserve">s, together with Mosaic implementation of GP access and hospital </w:t>
      </w:r>
      <w:r w:rsidR="00BE2DC6" w:rsidRPr="00F55530">
        <w:rPr>
          <w:rFonts w:cs="Arial"/>
          <w:color w:val="000000"/>
          <w:szCs w:val="24"/>
          <w:lang w:eastAsia="en-GB"/>
        </w:rPr>
        <w:t>discharge</w:t>
      </w:r>
      <w:r>
        <w:rPr>
          <w:rFonts w:cs="Arial"/>
          <w:color w:val="000000"/>
          <w:szCs w:val="24"/>
          <w:lang w:eastAsia="en-GB"/>
        </w:rPr>
        <w:t>.</w:t>
      </w:r>
    </w:p>
    <w:p w:rsidR="00C76047" w:rsidRPr="005C4C1A" w:rsidRDefault="00C76047" w:rsidP="00AA3B74">
      <w:pPr>
        <w:pStyle w:val="ListParagraph"/>
        <w:jc w:val="both"/>
        <w:rPr>
          <w:rFonts w:cs="Arial"/>
          <w:color w:val="000000"/>
          <w:szCs w:val="24"/>
          <w:lang w:eastAsia="en-GB"/>
        </w:rPr>
      </w:pPr>
    </w:p>
    <w:p w:rsidR="00F55530" w:rsidRDefault="00F55530">
      <w:pPr>
        <w:pStyle w:val="ListParagraph"/>
        <w:numPr>
          <w:ilvl w:val="0"/>
          <w:numId w:val="96"/>
        </w:numPr>
        <w:suppressAutoHyphens/>
        <w:autoSpaceDE w:val="0"/>
        <w:autoSpaceDN w:val="0"/>
        <w:adjustRightInd w:val="0"/>
        <w:spacing w:after="37"/>
        <w:ind w:left="1134" w:hanging="425"/>
        <w:contextualSpacing w:val="0"/>
        <w:jc w:val="both"/>
        <w:rPr>
          <w:rFonts w:cs="Arial"/>
          <w:color w:val="000000"/>
          <w:szCs w:val="24"/>
          <w:lang w:eastAsia="en-GB"/>
        </w:rPr>
      </w:pPr>
      <w:r w:rsidRPr="00F55530">
        <w:rPr>
          <w:rFonts w:cs="Arial"/>
          <w:color w:val="000000"/>
          <w:szCs w:val="24"/>
          <w:lang w:eastAsia="en-GB"/>
        </w:rPr>
        <w:t xml:space="preserve">House Residential (£100k) - plans for improvements in place, the majority of which relate to </w:t>
      </w:r>
      <w:proofErr w:type="spellStart"/>
      <w:r w:rsidRPr="00F55530">
        <w:rPr>
          <w:rFonts w:cs="Arial"/>
          <w:color w:val="000000"/>
          <w:szCs w:val="24"/>
          <w:lang w:eastAsia="en-GB"/>
        </w:rPr>
        <w:t>Milman</w:t>
      </w:r>
      <w:proofErr w:type="spellEnd"/>
      <w:r w:rsidRPr="00F55530">
        <w:rPr>
          <w:rFonts w:cs="Arial"/>
          <w:color w:val="000000"/>
          <w:szCs w:val="24"/>
          <w:lang w:eastAsia="en-GB"/>
        </w:rPr>
        <w:t xml:space="preserve"> for roof and floor works together with other remodelling as appropriate to maximise rental income to achieve MTFS savings</w:t>
      </w:r>
      <w:r>
        <w:rPr>
          <w:rFonts w:cs="Arial"/>
          <w:color w:val="000000"/>
          <w:szCs w:val="24"/>
          <w:lang w:eastAsia="en-GB"/>
        </w:rPr>
        <w:t>.</w:t>
      </w:r>
    </w:p>
    <w:p w:rsidR="00C76047" w:rsidRDefault="00C76047" w:rsidP="00AA3B74">
      <w:pPr>
        <w:pStyle w:val="ListParagraph"/>
        <w:suppressAutoHyphens/>
        <w:autoSpaceDE w:val="0"/>
        <w:autoSpaceDN w:val="0"/>
        <w:adjustRightInd w:val="0"/>
        <w:spacing w:after="37"/>
        <w:ind w:left="1134"/>
        <w:contextualSpacing w:val="0"/>
        <w:jc w:val="both"/>
        <w:rPr>
          <w:rFonts w:cs="Arial"/>
          <w:color w:val="000000"/>
          <w:szCs w:val="24"/>
          <w:lang w:eastAsia="en-GB"/>
        </w:rPr>
      </w:pPr>
    </w:p>
    <w:p w:rsidR="00F55530" w:rsidRDefault="00F55530" w:rsidP="00AA3B74">
      <w:pPr>
        <w:pStyle w:val="ListParagraph"/>
        <w:numPr>
          <w:ilvl w:val="0"/>
          <w:numId w:val="96"/>
        </w:numPr>
        <w:suppressAutoHyphens/>
        <w:autoSpaceDE w:val="0"/>
        <w:autoSpaceDN w:val="0"/>
        <w:adjustRightInd w:val="0"/>
        <w:spacing w:after="37"/>
        <w:ind w:left="1134" w:hanging="425"/>
        <w:contextualSpacing w:val="0"/>
        <w:jc w:val="both"/>
        <w:rPr>
          <w:rFonts w:cs="Arial"/>
          <w:color w:val="000000"/>
          <w:szCs w:val="24"/>
          <w:lang w:eastAsia="en-GB"/>
        </w:rPr>
      </w:pPr>
      <w:proofErr w:type="spellStart"/>
      <w:r w:rsidRPr="00F55530">
        <w:rPr>
          <w:rFonts w:cs="Arial"/>
          <w:color w:val="000000"/>
          <w:szCs w:val="24"/>
          <w:lang w:eastAsia="en-GB"/>
        </w:rPr>
        <w:t>Sancroft</w:t>
      </w:r>
      <w:proofErr w:type="spellEnd"/>
      <w:r w:rsidRPr="00F55530">
        <w:rPr>
          <w:rFonts w:cs="Arial"/>
          <w:color w:val="000000"/>
          <w:szCs w:val="24"/>
          <w:lang w:eastAsia="en-GB"/>
        </w:rPr>
        <w:t xml:space="preserve"> (£355k) – balance of funding required for extension to premises anticipated during 2018-19</w:t>
      </w:r>
      <w:r>
        <w:rPr>
          <w:rFonts w:cs="Arial"/>
          <w:color w:val="000000"/>
          <w:szCs w:val="24"/>
          <w:lang w:eastAsia="en-GB"/>
        </w:rPr>
        <w:t>.</w:t>
      </w:r>
    </w:p>
    <w:p w:rsidR="00547D1F" w:rsidRPr="00AA3B74" w:rsidRDefault="00547D1F" w:rsidP="00AA3B74">
      <w:pPr>
        <w:pStyle w:val="ListParagraph"/>
        <w:rPr>
          <w:rFonts w:cs="Arial"/>
          <w:color w:val="000000"/>
          <w:szCs w:val="24"/>
          <w:lang w:eastAsia="en-GB"/>
        </w:rPr>
      </w:pPr>
    </w:p>
    <w:p w:rsidR="00547D1F" w:rsidRDefault="00547D1F" w:rsidP="00AA3B74">
      <w:pPr>
        <w:pStyle w:val="ListParagraph"/>
        <w:numPr>
          <w:ilvl w:val="0"/>
          <w:numId w:val="96"/>
        </w:numPr>
        <w:suppressAutoHyphens/>
        <w:autoSpaceDE w:val="0"/>
        <w:autoSpaceDN w:val="0"/>
        <w:adjustRightInd w:val="0"/>
        <w:spacing w:after="37"/>
        <w:ind w:left="1134" w:hanging="425"/>
        <w:contextualSpacing w:val="0"/>
        <w:jc w:val="both"/>
        <w:rPr>
          <w:rFonts w:cs="Arial"/>
          <w:color w:val="000000"/>
          <w:szCs w:val="24"/>
          <w:lang w:eastAsia="en-GB"/>
        </w:rPr>
      </w:pPr>
      <w:r>
        <w:rPr>
          <w:rFonts w:cs="Arial"/>
          <w:color w:val="000000"/>
          <w:szCs w:val="24"/>
          <w:lang w:eastAsia="en-GB"/>
        </w:rPr>
        <w:t>The net underspend of £0.204m relates to the Mentis Pilot project that is no longer going forward.</w:t>
      </w:r>
    </w:p>
    <w:p w:rsidR="00547D1F" w:rsidRPr="00AA3B74" w:rsidRDefault="00547D1F" w:rsidP="00AA3B74">
      <w:pPr>
        <w:pStyle w:val="ListParagraph"/>
        <w:rPr>
          <w:rFonts w:cs="Arial"/>
          <w:color w:val="000000"/>
          <w:szCs w:val="24"/>
          <w:lang w:eastAsia="en-GB"/>
        </w:rPr>
      </w:pPr>
    </w:p>
    <w:p w:rsidR="00EC1138" w:rsidRDefault="00EC1138" w:rsidP="00AA3B74">
      <w:pPr>
        <w:suppressAutoHyphens/>
        <w:autoSpaceDE w:val="0"/>
        <w:autoSpaceDN w:val="0"/>
        <w:adjustRightInd w:val="0"/>
        <w:spacing w:after="37"/>
        <w:ind w:left="1094"/>
        <w:jc w:val="both"/>
        <w:rPr>
          <w:rFonts w:cs="Arial"/>
          <w:color w:val="000000"/>
          <w:szCs w:val="24"/>
          <w:lang w:eastAsia="en-GB"/>
        </w:rPr>
      </w:pPr>
    </w:p>
    <w:p w:rsidR="00EC2497" w:rsidRDefault="00EC2497" w:rsidP="00AA3B74">
      <w:pPr>
        <w:suppressAutoHyphens/>
        <w:autoSpaceDE w:val="0"/>
        <w:autoSpaceDN w:val="0"/>
        <w:adjustRightInd w:val="0"/>
        <w:spacing w:after="37"/>
        <w:jc w:val="both"/>
        <w:rPr>
          <w:rFonts w:cs="Arial"/>
          <w:b/>
          <w:color w:val="000000"/>
          <w:szCs w:val="24"/>
          <w:lang w:eastAsia="en-GB"/>
        </w:rPr>
      </w:pPr>
      <w:r w:rsidRPr="00074EF4">
        <w:rPr>
          <w:rFonts w:cs="Arial"/>
          <w:b/>
          <w:color w:val="000000"/>
          <w:szCs w:val="24"/>
          <w:lang w:eastAsia="en-GB"/>
        </w:rPr>
        <w:t>Regeneration, Enterprise and Planning</w:t>
      </w:r>
    </w:p>
    <w:p w:rsidR="00930AD0" w:rsidRPr="0017012B" w:rsidRDefault="00930AD0" w:rsidP="00AA3B74">
      <w:pPr>
        <w:suppressAutoHyphens/>
        <w:autoSpaceDE w:val="0"/>
        <w:autoSpaceDN w:val="0"/>
        <w:adjustRightInd w:val="0"/>
        <w:spacing w:after="37"/>
        <w:jc w:val="both"/>
        <w:rPr>
          <w:rFonts w:cs="Arial"/>
          <w:b/>
          <w:color w:val="000000"/>
          <w:szCs w:val="24"/>
          <w:lang w:eastAsia="en-GB"/>
        </w:rPr>
      </w:pPr>
    </w:p>
    <w:p w:rsidR="00425D53" w:rsidRDefault="00425D53" w:rsidP="00AA3B74">
      <w:pPr>
        <w:pStyle w:val="ListParagraph"/>
        <w:numPr>
          <w:ilvl w:val="0"/>
          <w:numId w:val="114"/>
        </w:numPr>
        <w:ind w:left="567" w:hanging="567"/>
        <w:jc w:val="both"/>
        <w:rPr>
          <w:rFonts w:cs="Arial"/>
          <w:szCs w:val="24"/>
        </w:rPr>
      </w:pPr>
      <w:r w:rsidRPr="006F766E">
        <w:rPr>
          <w:rFonts w:cs="Arial"/>
          <w:szCs w:val="24"/>
        </w:rPr>
        <w:t>The net variance for the</w:t>
      </w:r>
      <w:r>
        <w:rPr>
          <w:rFonts w:cs="Arial"/>
          <w:szCs w:val="24"/>
        </w:rPr>
        <w:t xml:space="preserve"> Regeneration, Enterprise and Planning </w:t>
      </w:r>
      <w:r w:rsidRPr="00930AD0">
        <w:rPr>
          <w:rFonts w:cs="Arial"/>
          <w:szCs w:val="24"/>
        </w:rPr>
        <w:t>Directorate</w:t>
      </w:r>
      <w:r w:rsidRPr="006F766E">
        <w:rPr>
          <w:rFonts w:cs="Arial"/>
          <w:szCs w:val="24"/>
        </w:rPr>
        <w:t xml:space="preserve"> is an outturn of £</w:t>
      </w:r>
      <w:r>
        <w:rPr>
          <w:rFonts w:cs="Arial"/>
          <w:szCs w:val="24"/>
        </w:rPr>
        <w:t>15.255</w:t>
      </w:r>
      <w:r w:rsidRPr="006F766E">
        <w:rPr>
          <w:rFonts w:cs="Arial"/>
          <w:szCs w:val="24"/>
        </w:rPr>
        <w:t>m against the budget of £</w:t>
      </w:r>
      <w:r>
        <w:rPr>
          <w:rFonts w:cs="Arial"/>
          <w:szCs w:val="24"/>
        </w:rPr>
        <w:t>56.673</w:t>
      </w:r>
      <w:r w:rsidRPr="006F766E">
        <w:rPr>
          <w:rFonts w:cs="Arial"/>
          <w:szCs w:val="24"/>
        </w:rPr>
        <w:t>m, a variance of £</w:t>
      </w:r>
      <w:r>
        <w:rPr>
          <w:rFonts w:cs="Arial"/>
          <w:szCs w:val="24"/>
        </w:rPr>
        <w:t>41.418</w:t>
      </w:r>
      <w:r w:rsidRPr="006F766E">
        <w:rPr>
          <w:rFonts w:cs="Arial"/>
          <w:szCs w:val="24"/>
        </w:rPr>
        <w:t>m. (£</w:t>
      </w:r>
      <w:r>
        <w:rPr>
          <w:rFonts w:cs="Arial"/>
          <w:szCs w:val="24"/>
        </w:rPr>
        <w:t>1.143</w:t>
      </w:r>
      <w:r w:rsidRPr="006F766E">
        <w:rPr>
          <w:rFonts w:cs="Arial"/>
          <w:szCs w:val="24"/>
        </w:rPr>
        <w:t xml:space="preserve">m of </w:t>
      </w:r>
      <w:r>
        <w:rPr>
          <w:rFonts w:cs="Arial"/>
          <w:szCs w:val="24"/>
        </w:rPr>
        <w:t>slippage and £40.275</w:t>
      </w:r>
      <w:r w:rsidR="00E31EE2">
        <w:rPr>
          <w:rFonts w:cs="Arial"/>
          <w:szCs w:val="24"/>
        </w:rPr>
        <w:t>m</w:t>
      </w:r>
      <w:r w:rsidRPr="006F766E">
        <w:rPr>
          <w:rFonts w:cs="Arial"/>
          <w:szCs w:val="24"/>
        </w:rPr>
        <w:t xml:space="preserve"> underspend)</w:t>
      </w:r>
      <w:r>
        <w:rPr>
          <w:rFonts w:cs="Arial"/>
          <w:szCs w:val="24"/>
        </w:rPr>
        <w:t>.</w:t>
      </w:r>
    </w:p>
    <w:p w:rsidR="00425D53" w:rsidRDefault="00425D53" w:rsidP="00AA3B74">
      <w:pPr>
        <w:pStyle w:val="ListParagraph"/>
        <w:ind w:left="567"/>
        <w:jc w:val="both"/>
        <w:rPr>
          <w:rFonts w:cs="Arial"/>
          <w:szCs w:val="24"/>
        </w:rPr>
      </w:pPr>
    </w:p>
    <w:p w:rsidR="00EC2497" w:rsidRDefault="00057745" w:rsidP="00AA3B74">
      <w:pPr>
        <w:pStyle w:val="ListParagraph"/>
        <w:numPr>
          <w:ilvl w:val="0"/>
          <w:numId w:val="114"/>
        </w:numPr>
        <w:ind w:left="567" w:hanging="567"/>
        <w:jc w:val="both"/>
        <w:rPr>
          <w:rFonts w:cs="Arial"/>
          <w:szCs w:val="24"/>
        </w:rPr>
      </w:pPr>
      <w:r w:rsidRPr="00DD7468">
        <w:rPr>
          <w:rFonts w:cs="Arial"/>
          <w:szCs w:val="24"/>
        </w:rPr>
        <w:t xml:space="preserve">The division has continued the major regeneration programme and associated Town Centre improvements in line with the Regeneration Strategy agreed in December 2014. </w:t>
      </w:r>
      <w:r w:rsidRPr="00AE7967">
        <w:rPr>
          <w:rFonts w:cs="Arial"/>
          <w:szCs w:val="24"/>
        </w:rPr>
        <w:t xml:space="preserve">In 2017/18, the </w:t>
      </w:r>
      <w:r w:rsidR="00E31EE2">
        <w:rPr>
          <w:rFonts w:cs="Arial"/>
          <w:szCs w:val="24"/>
        </w:rPr>
        <w:t>main regen p</w:t>
      </w:r>
      <w:r w:rsidRPr="00AE7967">
        <w:rPr>
          <w:rFonts w:cs="Arial"/>
          <w:szCs w:val="24"/>
        </w:rPr>
        <w:t>rogramme spent £15.074m against a budget of £55.771m, a 27% spend. £0.422m of the variance has been slipped to 2018/19.</w:t>
      </w:r>
      <w:r w:rsidR="00953B3D" w:rsidRPr="00953B3D">
        <w:rPr>
          <w:rFonts w:cs="Arial"/>
          <w:szCs w:val="24"/>
          <w:lang w:eastAsia="ar-SA"/>
        </w:rPr>
        <w:t xml:space="preserve"> </w:t>
      </w:r>
      <w:r w:rsidR="00953B3D">
        <w:rPr>
          <w:rFonts w:cs="Arial"/>
          <w:szCs w:val="24"/>
          <w:lang w:eastAsia="ar-SA"/>
        </w:rPr>
        <w:t>There are no revenue implications as a result of this slippage.</w:t>
      </w:r>
      <w:r w:rsidR="00953B3D" w:rsidRPr="00F273F6">
        <w:rPr>
          <w:rFonts w:cs="Arial"/>
          <w:szCs w:val="24"/>
          <w:lang w:eastAsia="ar-SA"/>
        </w:rPr>
        <w:t xml:space="preserve"> </w:t>
      </w:r>
      <w:r w:rsidRPr="00AE7967">
        <w:rPr>
          <w:rFonts w:cs="Arial"/>
          <w:szCs w:val="24"/>
        </w:rPr>
        <w:t xml:space="preserve"> As a result of the Commercial &amp; Financial Review of the Regeneration programme in 2017/18, a revised programme capital budget was agreed by Council in February 2018 and it is this revised budget that will be taken forward.</w:t>
      </w:r>
      <w:r w:rsidRPr="00574196" w:rsidDel="00057745">
        <w:rPr>
          <w:rFonts w:cs="Arial"/>
          <w:szCs w:val="24"/>
        </w:rPr>
        <w:t xml:space="preserve"> </w:t>
      </w:r>
    </w:p>
    <w:p w:rsidR="00E31EE2" w:rsidRPr="00AA3B74" w:rsidRDefault="00E31EE2" w:rsidP="00AA3B74">
      <w:pPr>
        <w:pStyle w:val="ListParagraph"/>
        <w:rPr>
          <w:rFonts w:cs="Arial"/>
          <w:szCs w:val="24"/>
        </w:rPr>
      </w:pPr>
    </w:p>
    <w:p w:rsidR="00E31EE2" w:rsidRPr="00D9610D" w:rsidRDefault="00E31EE2" w:rsidP="00AA3B74">
      <w:pPr>
        <w:pStyle w:val="ListParagraph"/>
        <w:numPr>
          <w:ilvl w:val="0"/>
          <w:numId w:val="114"/>
        </w:numPr>
        <w:ind w:left="567" w:hanging="567"/>
        <w:jc w:val="both"/>
        <w:rPr>
          <w:rFonts w:cs="Arial"/>
          <w:szCs w:val="24"/>
        </w:rPr>
      </w:pPr>
      <w:r>
        <w:rPr>
          <w:rFonts w:cs="Arial"/>
          <w:szCs w:val="24"/>
        </w:rPr>
        <w:t xml:space="preserve">Other budget </w:t>
      </w:r>
      <w:r w:rsidR="00685638">
        <w:rPr>
          <w:rFonts w:cs="Arial"/>
          <w:szCs w:val="24"/>
        </w:rPr>
        <w:t>slippage includes</w:t>
      </w:r>
      <w:r>
        <w:rPr>
          <w:rFonts w:cs="Arial"/>
          <w:szCs w:val="24"/>
        </w:rPr>
        <w:t xml:space="preserve"> £0.690m on the Trinity square project and £0.030m on the mobile technology in the community project.</w:t>
      </w:r>
      <w:r w:rsidR="00685638">
        <w:rPr>
          <w:rFonts w:cs="Arial"/>
          <w:szCs w:val="24"/>
        </w:rPr>
        <w:t xml:space="preserve"> There is no revenue implication; there is an agreement from the GLA that the funding for Trinity square can be carried forward into 2018/19. The external funding for mobile technology is for 2017/18 academic year and therefore will be spent in quarter 1 and 2 of 2018/19.</w:t>
      </w:r>
    </w:p>
    <w:p w:rsidR="00C76047" w:rsidRDefault="00C76047">
      <w:pPr>
        <w:ind w:right="304"/>
        <w:jc w:val="both"/>
      </w:pPr>
    </w:p>
    <w:p w:rsidR="00C76047" w:rsidRDefault="00C76047">
      <w:pPr>
        <w:ind w:right="304"/>
        <w:jc w:val="both"/>
      </w:pPr>
    </w:p>
    <w:p w:rsidR="00944063" w:rsidRDefault="00944063">
      <w:pPr>
        <w:ind w:left="14" w:right="304"/>
        <w:jc w:val="both"/>
        <w:rPr>
          <w:rFonts w:cs="Arial"/>
          <w:b/>
          <w:szCs w:val="24"/>
        </w:rPr>
      </w:pPr>
      <w:r w:rsidRPr="00C97D33">
        <w:rPr>
          <w:rFonts w:cs="Arial"/>
          <w:b/>
          <w:szCs w:val="24"/>
        </w:rPr>
        <w:t>Housing Revenue Account</w:t>
      </w:r>
    </w:p>
    <w:p w:rsidR="00FC6115" w:rsidRPr="00C97D33" w:rsidRDefault="00FC6115">
      <w:pPr>
        <w:ind w:left="14" w:right="304"/>
        <w:jc w:val="both"/>
        <w:rPr>
          <w:rFonts w:cs="Arial"/>
          <w:b/>
          <w:szCs w:val="24"/>
        </w:rPr>
      </w:pPr>
    </w:p>
    <w:p w:rsidR="00F55530" w:rsidRPr="00B63509" w:rsidRDefault="00220B2B" w:rsidP="00AA3B74">
      <w:pPr>
        <w:pStyle w:val="ListParagraph"/>
        <w:numPr>
          <w:ilvl w:val="0"/>
          <w:numId w:val="114"/>
        </w:numPr>
        <w:ind w:left="567" w:hanging="567"/>
        <w:jc w:val="both"/>
      </w:pPr>
      <w:r w:rsidRPr="00220B2B">
        <w:rPr>
          <w:rFonts w:cs="Arial"/>
          <w:szCs w:val="24"/>
        </w:rPr>
        <w:t xml:space="preserve">HRA spent £11.877m against a budget of £32.457m, including Homes-4-Harrow, </w:t>
      </w:r>
      <w:proofErr w:type="gramStart"/>
      <w:r w:rsidR="00913E33" w:rsidRPr="00220B2B">
        <w:rPr>
          <w:rFonts w:cs="Arial"/>
          <w:szCs w:val="24"/>
        </w:rPr>
        <w:t xml:space="preserve">a </w:t>
      </w:r>
      <w:r w:rsidR="00913E33">
        <w:rPr>
          <w:rFonts w:cs="Arial"/>
          <w:szCs w:val="24"/>
        </w:rPr>
        <w:t>spend</w:t>
      </w:r>
      <w:proofErr w:type="gramEnd"/>
      <w:r w:rsidRPr="00220B2B">
        <w:rPr>
          <w:rFonts w:cs="Arial"/>
          <w:szCs w:val="24"/>
        </w:rPr>
        <w:t xml:space="preserve"> of 37%. £18.6m will be carried forward to 2018-19 </w:t>
      </w:r>
      <w:r w:rsidR="00913E33" w:rsidRPr="00220B2B">
        <w:rPr>
          <w:rFonts w:cs="Arial"/>
          <w:szCs w:val="24"/>
        </w:rPr>
        <w:t>leaving</w:t>
      </w:r>
      <w:r w:rsidR="00913E33">
        <w:rPr>
          <w:rFonts w:cs="Arial"/>
          <w:szCs w:val="24"/>
        </w:rPr>
        <w:t xml:space="preserve"> a </w:t>
      </w:r>
      <w:r w:rsidR="00913E33" w:rsidRPr="00220B2B">
        <w:rPr>
          <w:rFonts w:cs="Arial"/>
          <w:szCs w:val="24"/>
        </w:rPr>
        <w:t>£1.980m underspends</w:t>
      </w:r>
      <w:r w:rsidRPr="00220B2B">
        <w:rPr>
          <w:rFonts w:cs="Arial"/>
          <w:szCs w:val="24"/>
        </w:rPr>
        <w:t xml:space="preserve"> against the planned investment programme. </w:t>
      </w:r>
      <w:r w:rsidR="00F55530">
        <w:rPr>
          <w:rFonts w:cs="Arial"/>
          <w:szCs w:val="24"/>
        </w:rPr>
        <w:t>Of the £18.</w:t>
      </w:r>
      <w:r w:rsidR="0018797C">
        <w:rPr>
          <w:rFonts w:cs="Arial"/>
          <w:szCs w:val="24"/>
        </w:rPr>
        <w:t>6</w:t>
      </w:r>
      <w:r w:rsidR="00F55530">
        <w:rPr>
          <w:rFonts w:cs="Arial"/>
          <w:szCs w:val="24"/>
        </w:rPr>
        <w:t xml:space="preserve">m of slippage </w:t>
      </w:r>
      <w:r w:rsidRPr="00220B2B">
        <w:rPr>
          <w:rFonts w:cs="Arial"/>
          <w:szCs w:val="24"/>
        </w:rPr>
        <w:t xml:space="preserve">£2.793m will be carried forward for the main planned investment programme </w:t>
      </w:r>
      <w:r w:rsidR="00F55530">
        <w:rPr>
          <w:rFonts w:cs="Arial"/>
          <w:szCs w:val="24"/>
        </w:rPr>
        <w:t>with</w:t>
      </w:r>
      <w:r w:rsidRPr="00220B2B">
        <w:rPr>
          <w:rFonts w:cs="Arial"/>
          <w:szCs w:val="24"/>
        </w:rPr>
        <w:t xml:space="preserve"> £15.808m carried forward in respect of the Homes-4-Harrow programme.</w:t>
      </w:r>
    </w:p>
    <w:p w:rsidR="00F55530" w:rsidRPr="005C4C1A" w:rsidRDefault="00F55530">
      <w:pPr>
        <w:pStyle w:val="ListParagraph"/>
        <w:ind w:left="357"/>
        <w:jc w:val="both"/>
      </w:pPr>
    </w:p>
    <w:p w:rsidR="00220B2B" w:rsidRDefault="00220B2B" w:rsidP="00AA3B74">
      <w:pPr>
        <w:pStyle w:val="ListParagraph"/>
        <w:numPr>
          <w:ilvl w:val="0"/>
          <w:numId w:val="114"/>
        </w:numPr>
        <w:ind w:left="567" w:hanging="567"/>
        <w:jc w:val="both"/>
        <w:rPr>
          <w:rFonts w:cs="Arial"/>
          <w:szCs w:val="24"/>
        </w:rPr>
      </w:pPr>
      <w:r w:rsidRPr="00220B2B">
        <w:rPr>
          <w:rFonts w:cs="Arial"/>
          <w:szCs w:val="24"/>
        </w:rPr>
        <w:t xml:space="preserve"> With regard to Homes-4-Harrow, planning objections for the Grange Farm Estate regeneration scheme have been successfully resolved.</w:t>
      </w:r>
      <w:r w:rsidR="00F55530">
        <w:rPr>
          <w:rFonts w:cs="Arial"/>
          <w:szCs w:val="24"/>
        </w:rPr>
        <w:t xml:space="preserve"> The</w:t>
      </w:r>
      <w:r w:rsidRPr="00220B2B">
        <w:rPr>
          <w:rFonts w:cs="Arial"/>
          <w:szCs w:val="24"/>
        </w:rPr>
        <w:t xml:space="preserve"> Council’s Infill programme, aimed at developing under-utilised pockets of Council land in and around the Borough is in build phase and properties have started to become available. Financing for all schemes in the HRA is being reviewed as part of the planned HRA Business Plan refresh which will be reported to Cabinet</w:t>
      </w:r>
      <w:r>
        <w:rPr>
          <w:rFonts w:cs="Arial"/>
          <w:szCs w:val="24"/>
        </w:rPr>
        <w:t>.</w:t>
      </w:r>
    </w:p>
    <w:p w:rsidR="00940CC4" w:rsidRPr="00940CC4" w:rsidRDefault="00940CC4" w:rsidP="00A37874">
      <w:pPr>
        <w:pStyle w:val="ListParagraph"/>
        <w:rPr>
          <w:rFonts w:cs="Arial"/>
          <w:szCs w:val="24"/>
        </w:rPr>
      </w:pPr>
    </w:p>
    <w:p w:rsidR="00685638" w:rsidRDefault="00685638" w:rsidP="00AA3B74">
      <w:pPr>
        <w:pStyle w:val="ListParagraph"/>
        <w:numPr>
          <w:ilvl w:val="0"/>
          <w:numId w:val="114"/>
        </w:numPr>
        <w:ind w:left="567" w:hanging="567"/>
        <w:jc w:val="both"/>
        <w:rPr>
          <w:rFonts w:cs="Arial"/>
          <w:szCs w:val="24"/>
        </w:rPr>
      </w:pPr>
      <w:r w:rsidRPr="00685638">
        <w:rPr>
          <w:rFonts w:cs="Arial"/>
          <w:szCs w:val="24"/>
        </w:rPr>
        <w:t>Slippage in new build housing, resulting mainly from by planning and procurement issues. This is not expected to have significant revenue implications as the HRA budget has already taken account of the revised delivery programme in terms of when the increased rental income to the HRA will occur. Slippage for the main planned investment programme is the result of prioritisation of statutory and health &amp; safety works and is not expected to have any significant revenue implications</w:t>
      </w:r>
      <w:r>
        <w:rPr>
          <w:rFonts w:cs="Arial"/>
          <w:szCs w:val="24"/>
        </w:rPr>
        <w:t>.</w:t>
      </w:r>
    </w:p>
    <w:p w:rsidR="00685638" w:rsidRPr="00C91067" w:rsidRDefault="00685638" w:rsidP="00A37874">
      <w:pPr>
        <w:pStyle w:val="ListParagraph"/>
        <w:rPr>
          <w:rFonts w:cs="Arial"/>
          <w:szCs w:val="24"/>
        </w:rPr>
      </w:pPr>
    </w:p>
    <w:p w:rsidR="00FC6115" w:rsidRPr="00074EF4" w:rsidRDefault="00FC6115" w:rsidP="00AA3B74">
      <w:pPr>
        <w:ind w:left="561" w:right="304" w:hanging="135"/>
        <w:jc w:val="both"/>
        <w:rPr>
          <w:rFonts w:cs="Arial"/>
          <w:b/>
          <w:color w:val="FF0000"/>
          <w:szCs w:val="24"/>
        </w:rPr>
      </w:pPr>
    </w:p>
    <w:p w:rsidR="00033CFC" w:rsidRDefault="00033CFC" w:rsidP="00AA3B74">
      <w:pPr>
        <w:pStyle w:val="ListParagraph"/>
        <w:numPr>
          <w:ilvl w:val="0"/>
          <w:numId w:val="116"/>
        </w:numPr>
        <w:autoSpaceDE w:val="0"/>
        <w:autoSpaceDN w:val="0"/>
        <w:adjustRightInd w:val="0"/>
        <w:ind w:left="284" w:hanging="426"/>
        <w:jc w:val="both"/>
        <w:rPr>
          <w:rFonts w:cs="Arial"/>
          <w:b/>
          <w:szCs w:val="24"/>
          <w:lang w:val="en-US"/>
        </w:rPr>
      </w:pPr>
      <w:r w:rsidRPr="00AA3B74">
        <w:rPr>
          <w:rFonts w:cs="Arial"/>
          <w:b/>
          <w:szCs w:val="24"/>
          <w:lang w:val="en-US"/>
        </w:rPr>
        <w:t xml:space="preserve">TIMETABLE FOR </w:t>
      </w:r>
      <w:r w:rsidR="008539D4" w:rsidRPr="00AA3B74">
        <w:rPr>
          <w:rFonts w:cs="Arial"/>
          <w:b/>
          <w:szCs w:val="24"/>
          <w:lang w:val="en-US"/>
        </w:rPr>
        <w:t>PREPARATION OF DRAFT STATEMENT</w:t>
      </w:r>
      <w:r w:rsidRPr="00AA3B74">
        <w:rPr>
          <w:rFonts w:cs="Arial"/>
          <w:b/>
          <w:szCs w:val="24"/>
          <w:lang w:val="en-US"/>
        </w:rPr>
        <w:t xml:space="preserve"> AND EXTERNAL AUDIT REVIEW</w:t>
      </w:r>
      <w:r w:rsidR="00DD7468">
        <w:rPr>
          <w:rFonts w:cs="Arial"/>
          <w:b/>
          <w:szCs w:val="24"/>
          <w:lang w:val="en-US"/>
        </w:rPr>
        <w:t>.</w:t>
      </w:r>
    </w:p>
    <w:p w:rsidR="00DD7468" w:rsidRDefault="00DD7468" w:rsidP="00AA3B74">
      <w:pPr>
        <w:pStyle w:val="ListParagraph"/>
        <w:autoSpaceDE w:val="0"/>
        <w:autoSpaceDN w:val="0"/>
        <w:adjustRightInd w:val="0"/>
        <w:ind w:left="284"/>
        <w:jc w:val="both"/>
        <w:rPr>
          <w:rFonts w:cs="Arial"/>
          <w:b/>
          <w:szCs w:val="24"/>
          <w:lang w:val="en-US"/>
        </w:rPr>
      </w:pPr>
    </w:p>
    <w:p w:rsidR="00151AAB" w:rsidRPr="00A25363" w:rsidRDefault="00DD7468" w:rsidP="00A37874">
      <w:pPr>
        <w:pStyle w:val="ListParagraph"/>
        <w:numPr>
          <w:ilvl w:val="0"/>
          <w:numId w:val="116"/>
        </w:numPr>
        <w:autoSpaceDE w:val="0"/>
        <w:autoSpaceDN w:val="0"/>
        <w:adjustRightInd w:val="0"/>
        <w:ind w:left="567" w:hanging="567"/>
        <w:jc w:val="both"/>
        <w:rPr>
          <w:rFonts w:cs="Arial"/>
          <w:szCs w:val="24"/>
          <w:lang w:val="en-US"/>
        </w:rPr>
      </w:pPr>
      <w:r w:rsidRPr="00AA3B74">
        <w:rPr>
          <w:rFonts w:cs="Arial"/>
          <w:szCs w:val="24"/>
        </w:rPr>
        <w:t>All Local Authorities must now have their draft statutory Statement of Accounts published by 31</w:t>
      </w:r>
      <w:r w:rsidRPr="00AA3B74">
        <w:rPr>
          <w:rFonts w:cs="Arial"/>
          <w:szCs w:val="24"/>
          <w:vertAlign w:val="superscript"/>
        </w:rPr>
        <w:t>st</w:t>
      </w:r>
      <w:r w:rsidRPr="00AA3B74">
        <w:rPr>
          <w:rFonts w:cs="Arial"/>
          <w:szCs w:val="24"/>
        </w:rPr>
        <w:t xml:space="preserve"> May each year (previously 30</w:t>
      </w:r>
      <w:r w:rsidRPr="00AA3B74">
        <w:rPr>
          <w:rFonts w:cs="Arial"/>
          <w:szCs w:val="24"/>
          <w:vertAlign w:val="superscript"/>
        </w:rPr>
        <w:t>th</w:t>
      </w:r>
      <w:r w:rsidRPr="00AA3B74">
        <w:rPr>
          <w:rFonts w:cs="Arial"/>
          <w:szCs w:val="24"/>
        </w:rPr>
        <w:t xml:space="preserve"> June) and the audit opinion issued by 31</w:t>
      </w:r>
      <w:r w:rsidRPr="00AA3B74">
        <w:rPr>
          <w:rFonts w:cs="Arial"/>
          <w:szCs w:val="24"/>
          <w:vertAlign w:val="superscript"/>
        </w:rPr>
        <w:t>st</w:t>
      </w:r>
      <w:r w:rsidRPr="00AA3B74">
        <w:rPr>
          <w:rFonts w:cs="Arial"/>
          <w:szCs w:val="24"/>
        </w:rPr>
        <w:t xml:space="preserve"> July (previously 30</w:t>
      </w:r>
      <w:r w:rsidRPr="00AA3B74">
        <w:rPr>
          <w:rFonts w:cs="Arial"/>
          <w:szCs w:val="24"/>
          <w:vertAlign w:val="superscript"/>
        </w:rPr>
        <w:t>th</w:t>
      </w:r>
      <w:r w:rsidRPr="00AA3B74">
        <w:rPr>
          <w:rFonts w:cs="Arial"/>
          <w:szCs w:val="24"/>
        </w:rPr>
        <w:t xml:space="preserve"> September). The Finance Team are on track to produce the 2017/18 accounts within the new timescales</w:t>
      </w:r>
      <w:r w:rsidR="00164199" w:rsidRPr="00AA3B74">
        <w:rPr>
          <w:rFonts w:cs="Arial"/>
          <w:szCs w:val="24"/>
        </w:rPr>
        <w:t>.</w:t>
      </w:r>
    </w:p>
    <w:p w:rsidR="004F2366" w:rsidRPr="00A25363" w:rsidRDefault="004F2366" w:rsidP="00A25363">
      <w:pPr>
        <w:pStyle w:val="ListParagraph"/>
        <w:rPr>
          <w:rFonts w:cs="Arial"/>
          <w:szCs w:val="24"/>
          <w:lang w:val="en-US"/>
        </w:rPr>
      </w:pPr>
    </w:p>
    <w:p w:rsidR="009C15DB" w:rsidRDefault="009C15DB" w:rsidP="00A37874">
      <w:pPr>
        <w:pStyle w:val="ListParagraph"/>
        <w:numPr>
          <w:ilvl w:val="0"/>
          <w:numId w:val="118"/>
        </w:numPr>
        <w:ind w:left="284" w:hanging="426"/>
        <w:rPr>
          <w:b/>
        </w:rPr>
      </w:pPr>
      <w:r w:rsidRPr="009C15DB">
        <w:rPr>
          <w:b/>
        </w:rPr>
        <w:t xml:space="preserve">IMPLICATIONS OF THE RECOMMENDATIONS </w:t>
      </w:r>
    </w:p>
    <w:p w:rsidR="009C15DB" w:rsidRDefault="009C15DB" w:rsidP="00A37874">
      <w:pPr>
        <w:pStyle w:val="ListParagraph"/>
        <w:rPr>
          <w:b/>
        </w:rPr>
      </w:pPr>
    </w:p>
    <w:p w:rsidR="009C15DB" w:rsidRDefault="009C15DB" w:rsidP="00A37874">
      <w:pPr>
        <w:pStyle w:val="ListParagraph"/>
      </w:pPr>
      <w:r w:rsidRPr="00A37874">
        <w:t>The recommendations are asking the Cabinet mainly to</w:t>
      </w:r>
      <w:r>
        <w:t>:</w:t>
      </w:r>
    </w:p>
    <w:p w:rsidR="009C15DB" w:rsidRDefault="009C15DB" w:rsidP="00A37874">
      <w:pPr>
        <w:pStyle w:val="ListParagraph"/>
        <w:numPr>
          <w:ilvl w:val="0"/>
          <w:numId w:val="140"/>
        </w:numPr>
      </w:pPr>
      <w:r>
        <w:t xml:space="preserve">To </w:t>
      </w:r>
      <w:r w:rsidRPr="00A37874">
        <w:t xml:space="preserve">note the </w:t>
      </w:r>
      <w:r>
        <w:t>revenue and capital outturn position for the 2017/18</w:t>
      </w:r>
    </w:p>
    <w:p w:rsidR="009C15DB" w:rsidRDefault="009C15DB" w:rsidP="00A37874">
      <w:pPr>
        <w:pStyle w:val="ListParagraph"/>
        <w:numPr>
          <w:ilvl w:val="0"/>
          <w:numId w:val="140"/>
        </w:numPr>
      </w:pPr>
      <w:r>
        <w:t xml:space="preserve">To note the </w:t>
      </w:r>
      <w:r w:rsidR="00BE2DC6">
        <w:t>movement</w:t>
      </w:r>
      <w:r>
        <w:t xml:space="preserve"> between reserves</w:t>
      </w:r>
    </w:p>
    <w:p w:rsidR="009C15DB" w:rsidRDefault="009C15DB" w:rsidP="00A37874">
      <w:pPr>
        <w:pStyle w:val="ListParagraph"/>
        <w:numPr>
          <w:ilvl w:val="0"/>
          <w:numId w:val="140"/>
        </w:numPr>
      </w:pPr>
      <w:r>
        <w:t xml:space="preserve">To note the revenue carry </w:t>
      </w:r>
      <w:r w:rsidR="00BE2DC6">
        <w:t>forwards</w:t>
      </w:r>
      <w:r>
        <w:t xml:space="preserve"> </w:t>
      </w:r>
    </w:p>
    <w:p w:rsidR="009C15DB" w:rsidRDefault="009C15DB" w:rsidP="00A37874">
      <w:pPr>
        <w:pStyle w:val="ListParagraph"/>
        <w:numPr>
          <w:ilvl w:val="0"/>
          <w:numId w:val="140"/>
        </w:numPr>
      </w:pPr>
      <w:r>
        <w:t xml:space="preserve">To note the timetable for preparation of </w:t>
      </w:r>
      <w:r w:rsidR="00A4674E">
        <w:t>t</w:t>
      </w:r>
      <w:r>
        <w:t>he capital programme.</w:t>
      </w:r>
    </w:p>
    <w:p w:rsidR="009C15DB" w:rsidRPr="00A37874" w:rsidRDefault="009C15DB" w:rsidP="00A37874">
      <w:pPr>
        <w:pStyle w:val="ListParagraph"/>
        <w:ind w:left="1504"/>
        <w:rPr>
          <w:strike/>
        </w:rPr>
      </w:pPr>
    </w:p>
    <w:p w:rsidR="009C15DB" w:rsidRDefault="009C15DB" w:rsidP="00A37874">
      <w:pPr>
        <w:ind w:left="709"/>
      </w:pPr>
      <w:r w:rsidRPr="00A37874">
        <w:t>The</w:t>
      </w:r>
      <w:r>
        <w:t xml:space="preserve">se </w:t>
      </w:r>
      <w:r w:rsidR="00BE2DC6">
        <w:t>recommendations</w:t>
      </w:r>
      <w:r w:rsidRPr="00A37874">
        <w:t xml:space="preserve"> do not affect the</w:t>
      </w:r>
      <w:r w:rsidR="00BE2DC6">
        <w:t xml:space="preserve"> Council’s</w:t>
      </w:r>
      <w:r w:rsidRPr="00A37874">
        <w:t xml:space="preserve"> staffing / workforce and </w:t>
      </w:r>
      <w:r w:rsidR="00BE2DC6" w:rsidRPr="009C15DB">
        <w:t xml:space="preserve">have </w:t>
      </w:r>
      <w:r w:rsidR="00BE2DC6">
        <w:t>no</w:t>
      </w:r>
      <w:r w:rsidRPr="00A37874">
        <w:t xml:space="preserve"> equalities, procurement, data protection or community safety impact</w:t>
      </w:r>
      <w:r>
        <w:t>.</w:t>
      </w:r>
    </w:p>
    <w:p w:rsidR="009C15DB" w:rsidRPr="00A37874" w:rsidRDefault="009C15DB" w:rsidP="00A37874">
      <w:pPr>
        <w:ind w:firstLine="720"/>
      </w:pPr>
    </w:p>
    <w:p w:rsidR="009C15DB" w:rsidRDefault="009C15DB" w:rsidP="00A37874">
      <w:pPr>
        <w:pStyle w:val="ListParagraph"/>
        <w:numPr>
          <w:ilvl w:val="1"/>
          <w:numId w:val="3"/>
        </w:numPr>
        <w:ind w:left="284" w:hanging="426"/>
        <w:rPr>
          <w:b/>
        </w:rPr>
      </w:pPr>
      <w:r>
        <w:rPr>
          <w:b/>
        </w:rPr>
        <w:t>P</w:t>
      </w:r>
      <w:r w:rsidRPr="009C15DB">
        <w:rPr>
          <w:b/>
        </w:rPr>
        <w:t>ROCUREMENT IMPLICATIONS</w:t>
      </w:r>
    </w:p>
    <w:p w:rsidR="009C15DB" w:rsidRDefault="009C15DB" w:rsidP="00A37874">
      <w:pPr>
        <w:pStyle w:val="ListParagraph"/>
        <w:ind w:left="709"/>
        <w:rPr>
          <w:b/>
        </w:rPr>
      </w:pPr>
    </w:p>
    <w:p w:rsidR="009C15DB" w:rsidRPr="00A37874" w:rsidRDefault="009C15DB" w:rsidP="00A37874">
      <w:pPr>
        <w:pStyle w:val="ListParagraph"/>
        <w:ind w:left="709"/>
      </w:pPr>
      <w:r w:rsidRPr="00A37874">
        <w:t>There are no procurement implications arising from this report</w:t>
      </w:r>
    </w:p>
    <w:p w:rsidR="002148A3" w:rsidRPr="002148A3" w:rsidRDefault="009C15DB" w:rsidP="00A37874">
      <w:pPr>
        <w:pStyle w:val="ListParagraph"/>
        <w:ind w:left="709"/>
        <w:rPr>
          <w:b/>
        </w:rPr>
      </w:pPr>
      <w:r w:rsidRPr="009C15DB">
        <w:rPr>
          <w:b/>
        </w:rPr>
        <w:t xml:space="preserve"> </w:t>
      </w:r>
    </w:p>
    <w:p w:rsidR="00E22550" w:rsidRPr="00A37874" w:rsidRDefault="002148A3" w:rsidP="00A37874">
      <w:pPr>
        <w:pStyle w:val="ListParagraph"/>
        <w:numPr>
          <w:ilvl w:val="0"/>
          <w:numId w:val="141"/>
        </w:numPr>
        <w:ind w:left="284" w:hanging="426"/>
        <w:jc w:val="both"/>
        <w:rPr>
          <w:b/>
        </w:rPr>
      </w:pPr>
      <w:r w:rsidRPr="00A37874">
        <w:rPr>
          <w:b/>
        </w:rPr>
        <w:t xml:space="preserve"> </w:t>
      </w:r>
      <w:r w:rsidR="00C767C6" w:rsidRPr="00A37874">
        <w:rPr>
          <w:b/>
        </w:rPr>
        <w:t>LEGAL IMPLICATIONS</w:t>
      </w:r>
    </w:p>
    <w:p w:rsidR="00C360D5" w:rsidRDefault="00C360D5">
      <w:pPr>
        <w:jc w:val="both"/>
        <w:rPr>
          <w:b/>
        </w:rPr>
      </w:pPr>
    </w:p>
    <w:p w:rsidR="00630716" w:rsidRDefault="00630716" w:rsidP="00AA3B74">
      <w:pPr>
        <w:pStyle w:val="ListParagraph"/>
        <w:autoSpaceDE w:val="0"/>
        <w:autoSpaceDN w:val="0"/>
        <w:adjustRightInd w:val="0"/>
        <w:ind w:left="567"/>
        <w:jc w:val="both"/>
        <w:rPr>
          <w:rFonts w:cs="Arial"/>
          <w:szCs w:val="24"/>
          <w:lang w:val="en-US"/>
        </w:rPr>
      </w:pPr>
      <w:r w:rsidRPr="000F0C4F">
        <w:rPr>
          <w:rFonts w:cs="Arial"/>
          <w:szCs w:val="24"/>
          <w:lang w:val="en-US"/>
        </w:rPr>
        <w:t>Section 151 of the Local Government Act 1972 states that</w:t>
      </w:r>
      <w:r w:rsidR="006E037A">
        <w:rPr>
          <w:rFonts w:cs="Arial"/>
          <w:szCs w:val="24"/>
          <w:lang w:val="en-US"/>
        </w:rPr>
        <w:t>, “</w:t>
      </w:r>
      <w:r w:rsidRPr="000F0C4F">
        <w:rPr>
          <w:rFonts w:cs="Arial"/>
          <w:szCs w:val="24"/>
          <w:lang w:val="en-US"/>
        </w:rPr>
        <w:t xml:space="preserve">without prejudice to section 111, every local authority shall make arrangements for the proper administration of their financial affairs and shall secure that one of their officers has responsibility for the administration of those affairs” </w:t>
      </w:r>
    </w:p>
    <w:p w:rsidR="00342FA2" w:rsidRPr="00D36305" w:rsidRDefault="00342FA2">
      <w:pPr>
        <w:autoSpaceDE w:val="0"/>
        <w:autoSpaceDN w:val="0"/>
        <w:adjustRightInd w:val="0"/>
        <w:ind w:left="14"/>
        <w:jc w:val="both"/>
        <w:rPr>
          <w:rFonts w:cs="Arial"/>
          <w:szCs w:val="24"/>
          <w:lang w:val="en-US"/>
        </w:rPr>
      </w:pPr>
    </w:p>
    <w:p w:rsidR="00DA7D37" w:rsidRPr="005C4C1A" w:rsidRDefault="00630716" w:rsidP="00AA3B74">
      <w:pPr>
        <w:pStyle w:val="ListParagraph"/>
        <w:autoSpaceDE w:val="0"/>
        <w:autoSpaceDN w:val="0"/>
        <w:adjustRightInd w:val="0"/>
        <w:spacing w:after="240"/>
        <w:ind w:left="567"/>
        <w:jc w:val="both"/>
        <w:rPr>
          <w:rFonts w:cs="Arial"/>
          <w:i/>
          <w:color w:val="000000"/>
        </w:rPr>
      </w:pPr>
      <w:r w:rsidRPr="00281EA0">
        <w:rPr>
          <w:rFonts w:cs="Arial"/>
          <w:szCs w:val="24"/>
          <w:lang w:val="en-US"/>
        </w:rPr>
        <w:t>Section 28 of the Local</w:t>
      </w:r>
      <w:r w:rsidRPr="004160E4">
        <w:rPr>
          <w:rFonts w:cs="Arial"/>
          <w:szCs w:val="24"/>
          <w:lang w:val="en-US"/>
        </w:rPr>
        <w:t xml:space="preserve"> government Act 2003 imposes a statutory duty on a billing or major </w:t>
      </w:r>
      <w:proofErr w:type="spellStart"/>
      <w:r w:rsidRPr="004160E4">
        <w:rPr>
          <w:rFonts w:cs="Arial"/>
          <w:szCs w:val="24"/>
          <w:lang w:val="en-US"/>
        </w:rPr>
        <w:t>precepting</w:t>
      </w:r>
      <w:proofErr w:type="spellEnd"/>
      <w:r w:rsidRPr="004160E4">
        <w:rPr>
          <w:rFonts w:cs="Arial"/>
          <w:szCs w:val="24"/>
          <w:lang w:val="en-US"/>
        </w:rPr>
        <w:t xml:space="preserve"> authority to monitor, during the financial year, its income and</w:t>
      </w:r>
      <w:r w:rsidRPr="000F0C4F">
        <w:rPr>
          <w:rFonts w:cs="Arial"/>
          <w:szCs w:val="24"/>
          <w:lang w:val="en-US"/>
        </w:rPr>
        <w:t xml:space="preserve"> expenditure against budget calculations.</w:t>
      </w:r>
    </w:p>
    <w:p w:rsidR="001E5EA0" w:rsidRPr="005C4C1A" w:rsidRDefault="001E5EA0" w:rsidP="00AA3B74">
      <w:pPr>
        <w:pStyle w:val="ListParagraph"/>
        <w:jc w:val="both"/>
        <w:rPr>
          <w:rFonts w:cs="Arial"/>
          <w:i/>
          <w:color w:val="000000"/>
        </w:rPr>
      </w:pPr>
    </w:p>
    <w:p w:rsidR="001E5EA0" w:rsidRPr="005C4C1A" w:rsidRDefault="0000141B" w:rsidP="00AA3B74">
      <w:pPr>
        <w:pStyle w:val="ListParagraph"/>
        <w:autoSpaceDE w:val="0"/>
        <w:autoSpaceDN w:val="0"/>
        <w:adjustRightInd w:val="0"/>
        <w:spacing w:after="240"/>
        <w:ind w:left="567"/>
        <w:jc w:val="both"/>
        <w:rPr>
          <w:rFonts w:cs="Arial"/>
          <w:szCs w:val="24"/>
          <w:lang w:val="en-US"/>
        </w:rPr>
      </w:pPr>
      <w:r>
        <w:rPr>
          <w:rFonts w:cs="Arial"/>
          <w:szCs w:val="24"/>
          <w:lang w:val="en-US"/>
        </w:rPr>
        <w:t xml:space="preserve">Under </w:t>
      </w:r>
      <w:r w:rsidR="001E5EA0" w:rsidRPr="005C4C1A">
        <w:rPr>
          <w:rFonts w:cs="Arial"/>
          <w:szCs w:val="24"/>
          <w:lang w:val="en-US"/>
        </w:rPr>
        <w:t>B66</w:t>
      </w:r>
      <w:r w:rsidR="00104B8B">
        <w:rPr>
          <w:rFonts w:cs="Arial"/>
          <w:szCs w:val="24"/>
          <w:lang w:val="en-US"/>
        </w:rPr>
        <w:t xml:space="preserve"> </w:t>
      </w:r>
      <w:r>
        <w:rPr>
          <w:rFonts w:cs="Arial"/>
          <w:szCs w:val="24"/>
          <w:lang w:val="en-US"/>
        </w:rPr>
        <w:t>of the Financial Regulations</w:t>
      </w:r>
      <w:r w:rsidR="00C227B1">
        <w:rPr>
          <w:rFonts w:cs="Arial"/>
          <w:szCs w:val="24"/>
          <w:lang w:val="en-US"/>
        </w:rPr>
        <w:t>,</w:t>
      </w:r>
      <w:r>
        <w:rPr>
          <w:rFonts w:cs="Arial"/>
          <w:szCs w:val="24"/>
          <w:lang w:val="en-US"/>
        </w:rPr>
        <w:t xml:space="preserve"> </w:t>
      </w:r>
      <w:r w:rsidR="00C227B1">
        <w:rPr>
          <w:rFonts w:cs="Arial"/>
          <w:szCs w:val="24"/>
          <w:lang w:val="en-US"/>
        </w:rPr>
        <w:t>a</w:t>
      </w:r>
      <w:r w:rsidR="001E5EA0" w:rsidRPr="005C4C1A">
        <w:rPr>
          <w:rFonts w:cs="Arial"/>
          <w:szCs w:val="24"/>
          <w:lang w:val="en-US"/>
        </w:rPr>
        <w:t xml:space="preserve"> year-end balance is the amount by which actual income and expenditure varies from the final budget, normally identified down to budget manager level. Unspent balances will not be carried forward, except with the permission of the CFO. Unspent balances will only be considered for carry forward where;</w:t>
      </w:r>
    </w:p>
    <w:p w:rsidR="001E5EA0" w:rsidRPr="005C4C1A" w:rsidRDefault="001E5EA0" w:rsidP="00AA3B74">
      <w:pPr>
        <w:pStyle w:val="ListParagraph"/>
        <w:jc w:val="both"/>
        <w:rPr>
          <w:rFonts w:cs="Arial"/>
          <w:szCs w:val="24"/>
          <w:lang w:val="en-US"/>
        </w:rPr>
      </w:pPr>
    </w:p>
    <w:p w:rsidR="001E5EA0" w:rsidRPr="005C4C1A" w:rsidRDefault="001E5EA0">
      <w:pPr>
        <w:pStyle w:val="ListParagraph"/>
        <w:numPr>
          <w:ilvl w:val="0"/>
          <w:numId w:val="99"/>
        </w:numPr>
        <w:autoSpaceDE w:val="0"/>
        <w:autoSpaceDN w:val="0"/>
        <w:adjustRightInd w:val="0"/>
        <w:spacing w:after="240"/>
        <w:jc w:val="both"/>
        <w:rPr>
          <w:rFonts w:cs="Arial"/>
          <w:szCs w:val="24"/>
          <w:lang w:val="en-US"/>
        </w:rPr>
      </w:pPr>
      <w:r w:rsidRPr="005C4C1A">
        <w:rPr>
          <w:rFonts w:cs="Arial"/>
          <w:szCs w:val="24"/>
          <w:lang w:val="en-US"/>
        </w:rPr>
        <w:t>There is an unspent ring fenced grant and grant must be repaid if it is not spent on its intended purpose.</w:t>
      </w:r>
    </w:p>
    <w:p w:rsidR="001E5EA0" w:rsidRPr="005C4C1A" w:rsidRDefault="001E5EA0">
      <w:pPr>
        <w:pStyle w:val="ListParagraph"/>
        <w:numPr>
          <w:ilvl w:val="0"/>
          <w:numId w:val="99"/>
        </w:numPr>
        <w:autoSpaceDE w:val="0"/>
        <w:autoSpaceDN w:val="0"/>
        <w:adjustRightInd w:val="0"/>
        <w:spacing w:after="240"/>
        <w:jc w:val="both"/>
        <w:rPr>
          <w:rFonts w:cs="Arial"/>
          <w:szCs w:val="24"/>
          <w:lang w:val="en-US"/>
        </w:rPr>
      </w:pPr>
      <w:r w:rsidRPr="005C4C1A">
        <w:rPr>
          <w:rFonts w:cs="Arial"/>
          <w:szCs w:val="24"/>
          <w:lang w:val="en-US"/>
        </w:rPr>
        <w:t>Funding has been allocated to a specific project and the project is not yet complete, and both the directorate and the Council in total are not overspent.</w:t>
      </w:r>
    </w:p>
    <w:p w:rsidR="001E5EA0" w:rsidRPr="005C4C1A" w:rsidRDefault="001E5EA0">
      <w:pPr>
        <w:pStyle w:val="ListParagraph"/>
        <w:numPr>
          <w:ilvl w:val="0"/>
          <w:numId w:val="99"/>
        </w:numPr>
        <w:autoSpaceDE w:val="0"/>
        <w:autoSpaceDN w:val="0"/>
        <w:adjustRightInd w:val="0"/>
        <w:spacing w:after="240"/>
        <w:jc w:val="both"/>
        <w:rPr>
          <w:rFonts w:cs="Arial"/>
          <w:szCs w:val="24"/>
          <w:lang w:val="en-US"/>
        </w:rPr>
      </w:pPr>
      <w:r w:rsidRPr="005C4C1A">
        <w:rPr>
          <w:rFonts w:cs="Arial"/>
          <w:szCs w:val="24"/>
          <w:lang w:val="en-US"/>
        </w:rPr>
        <w:t>External funding has been received for a specific project which is not yet complete.</w:t>
      </w:r>
    </w:p>
    <w:p w:rsidR="00AA3101" w:rsidRDefault="00AA3101">
      <w:pPr>
        <w:pStyle w:val="ListParagraph"/>
        <w:autoSpaceDE w:val="0"/>
        <w:autoSpaceDN w:val="0"/>
        <w:adjustRightInd w:val="0"/>
        <w:spacing w:after="240"/>
        <w:ind w:left="360"/>
        <w:jc w:val="both"/>
        <w:rPr>
          <w:rFonts w:cs="Arial"/>
          <w:i/>
          <w:color w:val="000000"/>
        </w:rPr>
      </w:pPr>
    </w:p>
    <w:p w:rsidR="001E5EA0" w:rsidRPr="000F0C4F" w:rsidRDefault="001E5EA0">
      <w:pPr>
        <w:pStyle w:val="ListParagraph"/>
        <w:autoSpaceDE w:val="0"/>
        <w:autoSpaceDN w:val="0"/>
        <w:adjustRightInd w:val="0"/>
        <w:spacing w:after="240"/>
        <w:ind w:left="360"/>
        <w:jc w:val="both"/>
        <w:rPr>
          <w:rFonts w:cs="Arial"/>
          <w:i/>
          <w:color w:val="000000"/>
        </w:rPr>
      </w:pPr>
    </w:p>
    <w:p w:rsidR="00696FC4" w:rsidRDefault="001B4C3D" w:rsidP="00A37874">
      <w:pPr>
        <w:pStyle w:val="ListParagraph"/>
        <w:numPr>
          <w:ilvl w:val="0"/>
          <w:numId w:val="123"/>
        </w:numPr>
        <w:ind w:left="284" w:hanging="426"/>
        <w:jc w:val="both"/>
        <w:rPr>
          <w:b/>
        </w:rPr>
      </w:pPr>
      <w:r>
        <w:rPr>
          <w:b/>
        </w:rPr>
        <w:t xml:space="preserve"> </w:t>
      </w:r>
      <w:r w:rsidR="00C767C6" w:rsidRPr="00AA3B74">
        <w:rPr>
          <w:b/>
        </w:rPr>
        <w:t>FINANCIAL IMPLICATIONS</w:t>
      </w:r>
    </w:p>
    <w:p w:rsidR="001B4C3D" w:rsidRPr="00AA3B74" w:rsidRDefault="001B4C3D" w:rsidP="00AA3B74">
      <w:pPr>
        <w:pStyle w:val="ListParagraph"/>
        <w:ind w:left="360"/>
        <w:jc w:val="both"/>
        <w:rPr>
          <w:b/>
        </w:rPr>
      </w:pPr>
    </w:p>
    <w:p w:rsidR="00696FC4" w:rsidRDefault="00696FC4" w:rsidP="00AA3B74">
      <w:pPr>
        <w:pStyle w:val="ListParagraph"/>
        <w:ind w:left="567"/>
        <w:jc w:val="both"/>
        <w:rPr>
          <w:rFonts w:cs="Arial"/>
        </w:rPr>
      </w:pPr>
      <w:r w:rsidRPr="000F0C4F">
        <w:rPr>
          <w:rFonts w:cs="Arial"/>
        </w:rPr>
        <w:t xml:space="preserve">Financial </w:t>
      </w:r>
      <w:r w:rsidR="00A04B5A">
        <w:rPr>
          <w:rFonts w:cs="Arial"/>
        </w:rPr>
        <w:t>implications are contained within the body of the report.</w:t>
      </w:r>
    </w:p>
    <w:p w:rsidR="001B4C3D" w:rsidRPr="00DD7468" w:rsidRDefault="001B4C3D" w:rsidP="00AA3B74">
      <w:pPr>
        <w:pStyle w:val="ListParagraph"/>
        <w:jc w:val="both"/>
        <w:rPr>
          <w:rFonts w:cs="Arial"/>
        </w:rPr>
      </w:pPr>
    </w:p>
    <w:p w:rsidR="001B4C3D" w:rsidRPr="00DD7468" w:rsidRDefault="001B4C3D" w:rsidP="00AA3B74">
      <w:pPr>
        <w:pStyle w:val="ListParagraph"/>
        <w:jc w:val="both"/>
        <w:rPr>
          <w:rFonts w:cs="Arial"/>
        </w:rPr>
      </w:pPr>
    </w:p>
    <w:p w:rsidR="001B4C3D" w:rsidRPr="001B4C3D" w:rsidRDefault="001B4C3D" w:rsidP="00A37874">
      <w:pPr>
        <w:pStyle w:val="ListParagraph"/>
        <w:numPr>
          <w:ilvl w:val="0"/>
          <w:numId w:val="124"/>
        </w:numPr>
        <w:ind w:left="284" w:hanging="426"/>
        <w:jc w:val="both"/>
        <w:rPr>
          <w:rFonts w:cs="Arial"/>
          <w:b/>
          <w:szCs w:val="24"/>
        </w:rPr>
      </w:pPr>
      <w:r w:rsidRPr="001B4C3D">
        <w:rPr>
          <w:rFonts w:cs="Arial"/>
          <w:b/>
          <w:szCs w:val="24"/>
        </w:rPr>
        <w:t>PERFORMANCE</w:t>
      </w:r>
      <w:r w:rsidR="00A4674E">
        <w:rPr>
          <w:rFonts w:cs="Arial"/>
          <w:b/>
          <w:szCs w:val="24"/>
        </w:rPr>
        <w:t xml:space="preserve"> ISSUES</w:t>
      </w:r>
      <w:r w:rsidR="00A4674E">
        <w:rPr>
          <w:rFonts w:cs="Arial"/>
          <w:b/>
          <w:szCs w:val="24"/>
        </w:rPr>
        <w:tab/>
      </w:r>
      <w:r w:rsidR="00A4674E">
        <w:rPr>
          <w:rFonts w:cs="Arial"/>
          <w:b/>
          <w:szCs w:val="24"/>
        </w:rPr>
        <w:tab/>
      </w:r>
    </w:p>
    <w:p w:rsidR="003A3CD5" w:rsidRDefault="003A3CD5">
      <w:pPr>
        <w:jc w:val="both"/>
        <w:rPr>
          <w:rFonts w:cs="Arial"/>
          <w:b/>
          <w:szCs w:val="24"/>
        </w:rPr>
      </w:pPr>
    </w:p>
    <w:p w:rsidR="00E66512" w:rsidRPr="000F0C4F" w:rsidRDefault="00696FC4" w:rsidP="00AA3B74">
      <w:pPr>
        <w:pStyle w:val="ListParagraph"/>
        <w:autoSpaceDE w:val="0"/>
        <w:autoSpaceDN w:val="0"/>
        <w:adjustRightInd w:val="0"/>
        <w:ind w:left="567"/>
        <w:jc w:val="both"/>
        <w:rPr>
          <w:rFonts w:cs="Arial"/>
          <w:szCs w:val="24"/>
          <w:lang w:val="en-US"/>
        </w:rPr>
      </w:pPr>
      <w:r w:rsidRPr="000F0C4F">
        <w:rPr>
          <w:rFonts w:cs="Arial"/>
        </w:rPr>
        <w:t xml:space="preserve">Good financial </w:t>
      </w:r>
      <w:r w:rsidR="00E66512" w:rsidRPr="000F0C4F">
        <w:rPr>
          <w:rFonts w:cs="Arial"/>
        </w:rPr>
        <w:t>monitoring</w:t>
      </w:r>
      <w:r w:rsidRPr="000F0C4F">
        <w:rPr>
          <w:rFonts w:cs="Arial"/>
        </w:rPr>
        <w:t xml:space="preserve"> is essential to </w:t>
      </w:r>
      <w:r w:rsidR="00E66512" w:rsidRPr="000F0C4F">
        <w:rPr>
          <w:rFonts w:cs="Arial"/>
          <w:szCs w:val="24"/>
          <w:lang w:val="en-US"/>
        </w:rPr>
        <w:t xml:space="preserve">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w:t>
      </w:r>
      <w:r w:rsidR="00BE2DC6" w:rsidRPr="000F0C4F">
        <w:rPr>
          <w:rFonts w:cs="Arial"/>
          <w:szCs w:val="24"/>
          <w:lang w:val="en-US"/>
        </w:rPr>
        <w:t>maximized</w:t>
      </w:r>
      <w:r w:rsidR="00E66512" w:rsidRPr="000F0C4F">
        <w:rPr>
          <w:rFonts w:cs="Arial"/>
          <w:szCs w:val="24"/>
          <w:lang w:val="en-US"/>
        </w:rPr>
        <w:t>.</w:t>
      </w:r>
    </w:p>
    <w:p w:rsidR="00E66512" w:rsidRDefault="00E66512">
      <w:pPr>
        <w:autoSpaceDE w:val="0"/>
        <w:autoSpaceDN w:val="0"/>
        <w:adjustRightInd w:val="0"/>
        <w:ind w:left="360"/>
        <w:jc w:val="both"/>
        <w:rPr>
          <w:rFonts w:cs="Arial"/>
          <w:szCs w:val="24"/>
          <w:lang w:val="en-US"/>
        </w:rPr>
      </w:pPr>
    </w:p>
    <w:p w:rsidR="00592E64" w:rsidRDefault="00597F30">
      <w:pPr>
        <w:pStyle w:val="ListParagraph"/>
        <w:ind w:left="567"/>
        <w:jc w:val="both"/>
        <w:rPr>
          <w:rFonts w:cs="Arial"/>
        </w:rPr>
      </w:pPr>
      <w:r w:rsidRPr="000F0C4F">
        <w:rPr>
          <w:rFonts w:cs="Arial"/>
        </w:rPr>
        <w:t>Financial performance is considered quarterly at Cabinet.</w:t>
      </w:r>
    </w:p>
    <w:p w:rsidR="00592E64" w:rsidRDefault="00592E64">
      <w:pPr>
        <w:pStyle w:val="ListParagraph"/>
        <w:ind w:left="567"/>
        <w:jc w:val="both"/>
        <w:rPr>
          <w:rFonts w:cs="Arial"/>
        </w:rPr>
      </w:pPr>
    </w:p>
    <w:p w:rsidR="00592E64" w:rsidRDefault="00592E64" w:rsidP="00A37874">
      <w:pPr>
        <w:ind w:left="284" w:hanging="426"/>
        <w:jc w:val="both"/>
        <w:rPr>
          <w:rFonts w:cs="Arial"/>
          <w:b/>
        </w:rPr>
      </w:pPr>
      <w:r w:rsidRPr="00A37874">
        <w:rPr>
          <w:rFonts w:cs="Arial"/>
          <w:b/>
        </w:rPr>
        <w:t xml:space="preserve">10.0 </w:t>
      </w:r>
      <w:r w:rsidRPr="00592E64">
        <w:rPr>
          <w:rFonts w:cs="Arial"/>
          <w:b/>
        </w:rPr>
        <w:t>ENVIRONMENTAL IMPACT</w:t>
      </w:r>
    </w:p>
    <w:p w:rsidR="00845775" w:rsidRDefault="00845775" w:rsidP="00A37874">
      <w:pPr>
        <w:ind w:left="284" w:hanging="426"/>
        <w:jc w:val="both"/>
        <w:rPr>
          <w:rFonts w:cs="Arial"/>
          <w:b/>
        </w:rPr>
      </w:pPr>
    </w:p>
    <w:p w:rsidR="00592E64" w:rsidRDefault="00592E64" w:rsidP="00A37874">
      <w:pPr>
        <w:ind w:left="567"/>
        <w:jc w:val="both"/>
        <w:rPr>
          <w:rFonts w:cs="Arial"/>
        </w:rPr>
      </w:pPr>
      <w:r w:rsidRPr="00A37874">
        <w:rPr>
          <w:rFonts w:cs="Arial"/>
        </w:rPr>
        <w:t>There is no direct environmental impact</w:t>
      </w:r>
    </w:p>
    <w:p w:rsidR="00845775" w:rsidRPr="00940CC4" w:rsidRDefault="00845775" w:rsidP="00A37874">
      <w:pPr>
        <w:ind w:left="567"/>
        <w:jc w:val="both"/>
        <w:rPr>
          <w:rFonts w:cs="Arial"/>
        </w:rPr>
      </w:pPr>
    </w:p>
    <w:p w:rsidR="001B4C3D" w:rsidRDefault="001B4C3D" w:rsidP="00A37874">
      <w:pPr>
        <w:pStyle w:val="ListParagraph"/>
        <w:numPr>
          <w:ilvl w:val="0"/>
          <w:numId w:val="144"/>
        </w:numPr>
        <w:ind w:hanging="610"/>
        <w:rPr>
          <w:b/>
          <w:szCs w:val="24"/>
        </w:rPr>
      </w:pPr>
      <w:r w:rsidRPr="00A37874">
        <w:rPr>
          <w:b/>
          <w:szCs w:val="24"/>
        </w:rPr>
        <w:t>RISK MANAGEMENT IMPLICATIONS</w:t>
      </w:r>
    </w:p>
    <w:p w:rsidR="00845775" w:rsidRPr="00A37874" w:rsidRDefault="00845775" w:rsidP="00A37874">
      <w:pPr>
        <w:pStyle w:val="ListParagraph"/>
        <w:ind w:left="468"/>
        <w:rPr>
          <w:b/>
          <w:szCs w:val="24"/>
        </w:rPr>
      </w:pPr>
    </w:p>
    <w:p w:rsidR="00F309B7" w:rsidRPr="00F309B7" w:rsidRDefault="00696FC4" w:rsidP="00F309B7">
      <w:pPr>
        <w:pStyle w:val="ListParagraph"/>
        <w:ind w:left="567"/>
        <w:jc w:val="both"/>
        <w:rPr>
          <w:rFonts w:cs="Arial"/>
        </w:rPr>
      </w:pPr>
      <w:r w:rsidRPr="000F0C4F">
        <w:rPr>
          <w:rFonts w:cs="Arial"/>
        </w:rPr>
        <w:t>T</w:t>
      </w:r>
      <w:r w:rsidR="00F309B7">
        <w:rPr>
          <w:rFonts w:cs="Arial"/>
        </w:rPr>
        <w:t xml:space="preserve">he </w:t>
      </w:r>
      <w:r w:rsidR="00F309B7" w:rsidRPr="00F309B7">
        <w:rPr>
          <w:rFonts w:cs="Arial"/>
        </w:rPr>
        <w:t>Key financial risks are managed through the risk management strategy. There are two significant financial risks currently included on the Corporate Risk Register:</w:t>
      </w:r>
    </w:p>
    <w:p w:rsidR="00F309B7" w:rsidRPr="00F309B7" w:rsidRDefault="00F309B7" w:rsidP="00F309B7">
      <w:pPr>
        <w:pStyle w:val="ListParagraph"/>
        <w:ind w:left="567"/>
        <w:jc w:val="both"/>
        <w:rPr>
          <w:rFonts w:cs="Arial"/>
        </w:rPr>
      </w:pPr>
    </w:p>
    <w:p w:rsidR="00F309B7" w:rsidRPr="00F309B7" w:rsidRDefault="00F309B7" w:rsidP="00F309B7">
      <w:pPr>
        <w:pStyle w:val="ListParagraph"/>
        <w:ind w:left="567"/>
        <w:rPr>
          <w:rFonts w:cs="Arial"/>
        </w:rPr>
      </w:pPr>
      <w:r w:rsidRPr="00F309B7">
        <w:rPr>
          <w:rFonts w:cs="Arial"/>
        </w:rPr>
        <w:t xml:space="preserve">Risk 2 – Failure to deliver a 3 year MTFS.  This risk is currently rated at B2, high likelihood and critical impact.  </w:t>
      </w:r>
    </w:p>
    <w:p w:rsidR="00F309B7" w:rsidRPr="00F309B7" w:rsidRDefault="00F309B7" w:rsidP="00F309B7">
      <w:pPr>
        <w:pStyle w:val="ListParagraph"/>
        <w:ind w:left="567"/>
        <w:rPr>
          <w:rFonts w:cs="Arial"/>
        </w:rPr>
      </w:pPr>
    </w:p>
    <w:p w:rsidR="00F309B7" w:rsidRPr="00F309B7" w:rsidRDefault="00F309B7" w:rsidP="00F309B7">
      <w:pPr>
        <w:pStyle w:val="ListParagraph"/>
        <w:ind w:left="567"/>
        <w:rPr>
          <w:rFonts w:cs="Arial"/>
        </w:rPr>
      </w:pPr>
      <w:r w:rsidRPr="00F309B7">
        <w:rPr>
          <w:rFonts w:cs="Arial"/>
        </w:rPr>
        <w:t xml:space="preserve">Risk 26 – There are insufficient financial reserves. This risk is currently rated at D2, low likelihood and critical impact. </w:t>
      </w:r>
    </w:p>
    <w:p w:rsidR="00F309B7" w:rsidRPr="00F309B7" w:rsidRDefault="00F309B7" w:rsidP="00F309B7">
      <w:pPr>
        <w:pStyle w:val="ListParagraph"/>
        <w:ind w:left="567"/>
        <w:rPr>
          <w:rFonts w:cs="Arial"/>
        </w:rPr>
      </w:pPr>
    </w:p>
    <w:p w:rsidR="00F309B7" w:rsidRPr="00F309B7" w:rsidRDefault="00F309B7" w:rsidP="00F309B7">
      <w:pPr>
        <w:pStyle w:val="ListParagraph"/>
        <w:ind w:left="567"/>
        <w:rPr>
          <w:rFonts w:cs="Arial"/>
        </w:rPr>
      </w:pPr>
    </w:p>
    <w:p w:rsidR="00737F48" w:rsidRDefault="00F309B7" w:rsidP="00A37874">
      <w:pPr>
        <w:pStyle w:val="ListParagraph"/>
        <w:ind w:left="567"/>
        <w:jc w:val="both"/>
        <w:rPr>
          <w:rFonts w:cs="Arial"/>
        </w:rPr>
      </w:pPr>
      <w:r w:rsidRPr="00F309B7">
        <w:rPr>
          <w:rFonts w:cs="Arial"/>
        </w:rPr>
        <w:t>The Corporate Risk Register, reported quarterly to the Corporate Strategic Board and the GARMS</w:t>
      </w:r>
      <w:r>
        <w:rPr>
          <w:rFonts w:cs="Arial"/>
        </w:rPr>
        <w:t>.</w:t>
      </w:r>
      <w:r w:rsidR="00737F48">
        <w:rPr>
          <w:rFonts w:cs="Arial"/>
        </w:rPr>
        <w:t xml:space="preserve"> </w:t>
      </w:r>
    </w:p>
    <w:p w:rsidR="001B4C3D" w:rsidRDefault="001B4C3D" w:rsidP="00AA3B74">
      <w:pPr>
        <w:pStyle w:val="infotext0"/>
        <w:spacing w:before="0" w:beforeAutospacing="0" w:after="0" w:afterAutospacing="0"/>
        <w:ind w:left="360"/>
        <w:jc w:val="both"/>
        <w:rPr>
          <w:rFonts w:ascii="Arial" w:hAnsi="Arial" w:cs="Arial"/>
        </w:rPr>
      </w:pPr>
    </w:p>
    <w:p w:rsidR="001B4C3D" w:rsidRPr="00A37874" w:rsidRDefault="001B4C3D" w:rsidP="00A37874">
      <w:pPr>
        <w:pStyle w:val="ListParagraph"/>
        <w:numPr>
          <w:ilvl w:val="0"/>
          <w:numId w:val="143"/>
        </w:numPr>
        <w:ind w:hanging="610"/>
        <w:jc w:val="both"/>
        <w:rPr>
          <w:b/>
          <w:szCs w:val="24"/>
        </w:rPr>
      </w:pPr>
      <w:r w:rsidRPr="00A37874">
        <w:rPr>
          <w:b/>
          <w:szCs w:val="24"/>
        </w:rPr>
        <w:t>EQUALITIES IMPLICATIONS</w:t>
      </w:r>
      <w:r w:rsidR="00E849CF" w:rsidRPr="00A37874">
        <w:rPr>
          <w:b/>
          <w:szCs w:val="24"/>
        </w:rPr>
        <w:t xml:space="preserve"> / PUBLIC SECTOR EQUALITY DUTY</w:t>
      </w:r>
    </w:p>
    <w:p w:rsidR="001B4C3D" w:rsidRPr="000F0C4F" w:rsidRDefault="001B4C3D" w:rsidP="00AA3B74">
      <w:pPr>
        <w:pStyle w:val="ListParagraph"/>
        <w:ind w:left="360"/>
        <w:jc w:val="both"/>
        <w:rPr>
          <w:rFonts w:cs="Arial"/>
        </w:rPr>
      </w:pPr>
    </w:p>
    <w:p w:rsidR="00164199" w:rsidRDefault="00547D1F" w:rsidP="00AA3B74">
      <w:pPr>
        <w:pStyle w:val="ListParagraph"/>
        <w:ind w:left="567"/>
        <w:jc w:val="both"/>
        <w:rPr>
          <w:b/>
        </w:rPr>
      </w:pPr>
      <w:r>
        <w:rPr>
          <w:rFonts w:cs="Arial"/>
        </w:rPr>
        <w:t xml:space="preserve">The MTFS savings </w:t>
      </w:r>
      <w:r w:rsidR="0000141B" w:rsidRPr="0000141B">
        <w:rPr>
          <w:rFonts w:cs="Arial"/>
        </w:rPr>
        <w:t xml:space="preserve">have had equality impact </w:t>
      </w:r>
      <w:r w:rsidR="00C227B1" w:rsidRPr="0000141B">
        <w:rPr>
          <w:rFonts w:cs="Arial"/>
        </w:rPr>
        <w:t>assessments</w:t>
      </w:r>
      <w:r w:rsidR="0000141B" w:rsidRPr="0000141B">
        <w:rPr>
          <w:rFonts w:cs="Arial"/>
        </w:rPr>
        <w:t xml:space="preserve"> completed on them where required and these have been published with the budget setting report.</w:t>
      </w:r>
      <w:hyperlink r:id="rId16" w:history="1">
        <w:r w:rsidR="00164199" w:rsidRPr="00164199">
          <w:rPr>
            <w:rStyle w:val="Hyperlink"/>
          </w:rPr>
          <w:t>..\..\..\..\..</w:t>
        </w:r>
        <w:proofErr w:type="gramStart"/>
        <w:r w:rsidR="00164199" w:rsidRPr="00164199">
          <w:rPr>
            <w:rStyle w:val="Hyperlink"/>
          </w:rPr>
          <w:t>\BUDGET\Budget 2017-18\February Cabinet\Final report\Final Report Appendices for Daksha\V4 Final Budget Report 070217.doc</w:t>
        </w:r>
      </w:hyperlink>
      <w:r w:rsidR="00164199">
        <w:rPr>
          <w:rFonts w:cs="Arial"/>
        </w:rPr>
        <w:t>.</w:t>
      </w:r>
      <w:proofErr w:type="gramEnd"/>
      <w:r w:rsidR="00164199" w:rsidRPr="000C2294">
        <w:rPr>
          <w:b/>
        </w:rPr>
        <w:t xml:space="preserve"> </w:t>
      </w:r>
    </w:p>
    <w:p w:rsidR="00845775" w:rsidRDefault="00845775" w:rsidP="00AA3B74">
      <w:pPr>
        <w:pStyle w:val="ListParagraph"/>
        <w:ind w:left="567"/>
        <w:jc w:val="both"/>
        <w:rPr>
          <w:b/>
        </w:rPr>
      </w:pPr>
    </w:p>
    <w:p w:rsidR="00EC44F3" w:rsidRPr="00A37874" w:rsidRDefault="00EC44F3" w:rsidP="00A37874">
      <w:pPr>
        <w:pStyle w:val="ListParagraph"/>
        <w:numPr>
          <w:ilvl w:val="0"/>
          <w:numId w:val="143"/>
        </w:numPr>
        <w:ind w:hanging="610"/>
        <w:rPr>
          <w:b/>
        </w:rPr>
      </w:pPr>
      <w:r w:rsidRPr="00A37874">
        <w:rPr>
          <w:b/>
        </w:rPr>
        <w:t>CORPORATE PRIORITIES</w:t>
      </w:r>
    </w:p>
    <w:p w:rsidR="00EC44F3" w:rsidRDefault="00EC44F3" w:rsidP="00AA3B74">
      <w:pPr>
        <w:pStyle w:val="Style12ptJustified"/>
        <w:ind w:left="284"/>
        <w:jc w:val="both"/>
        <w:rPr>
          <w:b/>
        </w:rPr>
      </w:pPr>
    </w:p>
    <w:p w:rsidR="00EC44F3" w:rsidRDefault="00F309B7" w:rsidP="00AA3B74">
      <w:pPr>
        <w:pStyle w:val="Style12ptJustified"/>
        <w:ind w:left="567"/>
        <w:jc w:val="both"/>
        <w:rPr>
          <w:rFonts w:cs="Arial"/>
        </w:rPr>
      </w:pPr>
      <w:r w:rsidRPr="00F309B7">
        <w:rPr>
          <w:rFonts w:cs="Arial"/>
        </w:rPr>
        <w:t xml:space="preserve">The </w:t>
      </w:r>
      <w:r>
        <w:rPr>
          <w:rFonts w:cs="Arial"/>
        </w:rPr>
        <w:t xml:space="preserve">Council’s Outturn Report </w:t>
      </w:r>
      <w:r w:rsidRPr="00F309B7">
        <w:rPr>
          <w:rFonts w:cs="Arial"/>
        </w:rPr>
        <w:t>for 201</w:t>
      </w:r>
      <w:r>
        <w:rPr>
          <w:rFonts w:cs="Arial"/>
        </w:rPr>
        <w:t>7/18</w:t>
      </w:r>
      <w:r w:rsidRPr="00F309B7">
        <w:rPr>
          <w:rFonts w:cs="Arial"/>
        </w:rPr>
        <w:t xml:space="preserve"> has been prepared in line with the Council’s vision</w:t>
      </w:r>
      <w:r>
        <w:rPr>
          <w:rFonts w:cs="Arial"/>
        </w:rPr>
        <w:t>:</w:t>
      </w:r>
    </w:p>
    <w:p w:rsidR="00EC44F3" w:rsidRDefault="00EC44F3" w:rsidP="00AA3B74">
      <w:pPr>
        <w:pStyle w:val="ListParagraph"/>
        <w:jc w:val="both"/>
        <w:rPr>
          <w:rFonts w:cs="Arial"/>
        </w:rPr>
      </w:pPr>
    </w:p>
    <w:p w:rsidR="00EC44F3" w:rsidRDefault="00EC44F3" w:rsidP="00AA3B74">
      <w:pPr>
        <w:pStyle w:val="Style12ptJustified"/>
        <w:ind w:left="567"/>
        <w:jc w:val="both"/>
        <w:rPr>
          <w:rFonts w:cs="Arial"/>
          <w:b/>
        </w:rPr>
      </w:pPr>
      <w:r w:rsidRPr="00EC44F3">
        <w:rPr>
          <w:rFonts w:cs="Arial"/>
          <w:b/>
        </w:rPr>
        <w:t>Working Together to Make a Difference for Harrow</w:t>
      </w:r>
    </w:p>
    <w:p w:rsidR="00EC44F3" w:rsidRPr="00EC44F3" w:rsidRDefault="00696FC4" w:rsidP="00AA3B74">
      <w:pPr>
        <w:pStyle w:val="ListParagraph"/>
        <w:ind w:left="567"/>
        <w:jc w:val="both"/>
        <w:rPr>
          <w:rFonts w:cs="Arial"/>
        </w:rPr>
      </w:pPr>
      <w:r w:rsidRPr="000F0C4F">
        <w:rPr>
          <w:rFonts w:cs="Arial"/>
        </w:rPr>
        <w:t xml:space="preserve"> </w:t>
      </w:r>
    </w:p>
    <w:p w:rsidR="00EC44F3" w:rsidRPr="00A37874" w:rsidRDefault="00EC44F3" w:rsidP="00A37874">
      <w:pPr>
        <w:pStyle w:val="ListParagraph"/>
        <w:numPr>
          <w:ilvl w:val="0"/>
          <w:numId w:val="145"/>
        </w:numPr>
        <w:jc w:val="both"/>
        <w:rPr>
          <w:rFonts w:cs="Arial"/>
        </w:rPr>
      </w:pPr>
      <w:r w:rsidRPr="00591F96">
        <w:rPr>
          <w:rFonts w:cs="Arial"/>
        </w:rPr>
        <w:t>Making a difference for the vulnerable</w:t>
      </w:r>
    </w:p>
    <w:p w:rsidR="00EC44F3" w:rsidRPr="00A37874" w:rsidRDefault="00EC44F3" w:rsidP="00A37874">
      <w:pPr>
        <w:pStyle w:val="ListParagraph"/>
        <w:numPr>
          <w:ilvl w:val="0"/>
          <w:numId w:val="145"/>
        </w:numPr>
        <w:jc w:val="both"/>
        <w:rPr>
          <w:rFonts w:cs="Arial"/>
        </w:rPr>
      </w:pPr>
      <w:r w:rsidRPr="00A37874">
        <w:rPr>
          <w:rFonts w:cs="Arial"/>
        </w:rPr>
        <w:t>Making a difference for communities</w:t>
      </w:r>
    </w:p>
    <w:p w:rsidR="00EC44F3" w:rsidRPr="00A37874" w:rsidRDefault="00EC44F3" w:rsidP="00A37874">
      <w:pPr>
        <w:pStyle w:val="ListParagraph"/>
        <w:numPr>
          <w:ilvl w:val="0"/>
          <w:numId w:val="145"/>
        </w:numPr>
        <w:jc w:val="both"/>
        <w:rPr>
          <w:rFonts w:cs="Arial"/>
        </w:rPr>
      </w:pPr>
      <w:r w:rsidRPr="00A37874">
        <w:rPr>
          <w:rFonts w:cs="Arial"/>
        </w:rPr>
        <w:t>Making a difference for local businesses</w:t>
      </w:r>
    </w:p>
    <w:p w:rsidR="00696FC4" w:rsidRPr="00A37874" w:rsidRDefault="00EC44F3" w:rsidP="00A37874">
      <w:pPr>
        <w:pStyle w:val="ListParagraph"/>
        <w:numPr>
          <w:ilvl w:val="0"/>
          <w:numId w:val="145"/>
        </w:numPr>
        <w:jc w:val="both"/>
        <w:rPr>
          <w:rFonts w:cs="Arial"/>
        </w:rPr>
      </w:pPr>
      <w:r w:rsidRPr="00A37874">
        <w:rPr>
          <w:rFonts w:cs="Arial"/>
        </w:rPr>
        <w:t>Making a difference for families</w:t>
      </w:r>
    </w:p>
    <w:p w:rsidR="00556B17" w:rsidRDefault="00556B17" w:rsidP="00AA3B74">
      <w:pPr>
        <w:pStyle w:val="ListParagraph"/>
        <w:ind w:left="928"/>
        <w:jc w:val="both"/>
        <w:rPr>
          <w:rFonts w:cs="Arial"/>
        </w:rPr>
      </w:pPr>
    </w:p>
    <w:p w:rsidR="001B4C3D" w:rsidRDefault="001B4C3D" w:rsidP="00AA3B74">
      <w:pPr>
        <w:pStyle w:val="Style12ptJustified"/>
        <w:jc w:val="both"/>
        <w:rPr>
          <w:b/>
        </w:rPr>
      </w:pPr>
    </w:p>
    <w:p w:rsidR="00696FC4" w:rsidRDefault="00696FC4" w:rsidP="00AA3B74">
      <w:pPr>
        <w:jc w:val="both"/>
        <w:rPr>
          <w:rFonts w:cs="Arial"/>
        </w:rPr>
      </w:pPr>
      <w:r>
        <w:rPr>
          <w:b/>
          <w:sz w:val="32"/>
          <w:szCs w:val="32"/>
        </w:rPr>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6"/>
        <w:gridCol w:w="487"/>
        <w:gridCol w:w="262"/>
        <w:gridCol w:w="4532"/>
      </w:tblGrid>
      <w:tr w:rsidR="00696FC4" w:rsidTr="00592E64">
        <w:tc>
          <w:tcPr>
            <w:tcW w:w="2321" w:type="pct"/>
            <w:tcBorders>
              <w:bottom w:val="nil"/>
              <w:right w:val="nil"/>
            </w:tcBorders>
          </w:tcPr>
          <w:p w:rsidR="00696FC4" w:rsidRDefault="00696FC4" w:rsidP="00AA3B74">
            <w:pPr>
              <w:pStyle w:val="Infotext"/>
              <w:jc w:val="both"/>
            </w:pPr>
          </w:p>
        </w:tc>
        <w:tc>
          <w:tcPr>
            <w:tcW w:w="247" w:type="pct"/>
            <w:tcBorders>
              <w:left w:val="nil"/>
              <w:right w:val="nil"/>
            </w:tcBorders>
          </w:tcPr>
          <w:p w:rsidR="00696FC4" w:rsidRDefault="00696FC4" w:rsidP="00AA3B74">
            <w:pPr>
              <w:pStyle w:val="Infotext"/>
              <w:jc w:val="both"/>
            </w:pPr>
          </w:p>
        </w:tc>
        <w:tc>
          <w:tcPr>
            <w:tcW w:w="133" w:type="pct"/>
            <w:tcBorders>
              <w:left w:val="nil"/>
              <w:bottom w:val="nil"/>
              <w:right w:val="nil"/>
            </w:tcBorders>
          </w:tcPr>
          <w:p w:rsidR="00696FC4" w:rsidRDefault="00696FC4" w:rsidP="00AA3B74">
            <w:pPr>
              <w:pStyle w:val="Infotext"/>
              <w:jc w:val="both"/>
            </w:pPr>
          </w:p>
        </w:tc>
        <w:tc>
          <w:tcPr>
            <w:tcW w:w="2300" w:type="pct"/>
            <w:tcBorders>
              <w:left w:val="nil"/>
              <w:bottom w:val="nil"/>
            </w:tcBorders>
          </w:tcPr>
          <w:p w:rsidR="00696FC4" w:rsidRDefault="00696FC4" w:rsidP="00AA3B74">
            <w:pPr>
              <w:pStyle w:val="Infotext"/>
              <w:jc w:val="both"/>
            </w:pPr>
          </w:p>
        </w:tc>
      </w:tr>
      <w:tr w:rsidR="00B40C72" w:rsidTr="00592E64">
        <w:tc>
          <w:tcPr>
            <w:tcW w:w="2321" w:type="pct"/>
            <w:tcBorders>
              <w:top w:val="nil"/>
              <w:bottom w:val="nil"/>
            </w:tcBorders>
          </w:tcPr>
          <w:p w:rsidR="00B40C72" w:rsidRDefault="00B40C72" w:rsidP="00AA3B74">
            <w:pPr>
              <w:pStyle w:val="Infotext"/>
              <w:jc w:val="both"/>
              <w:rPr>
                <w:sz w:val="24"/>
                <w:szCs w:val="24"/>
              </w:rPr>
            </w:pPr>
            <w:r>
              <w:rPr>
                <w:sz w:val="24"/>
                <w:szCs w:val="24"/>
              </w:rPr>
              <w:t xml:space="preserve">Name:  </w:t>
            </w:r>
            <w:r w:rsidR="003D76D5">
              <w:rPr>
                <w:sz w:val="24"/>
                <w:szCs w:val="24"/>
              </w:rPr>
              <w:t>Dawn Calvert</w:t>
            </w:r>
          </w:p>
        </w:tc>
        <w:tc>
          <w:tcPr>
            <w:tcW w:w="247" w:type="pct"/>
            <w:tcBorders>
              <w:bottom w:val="single" w:sz="4" w:space="0" w:color="auto"/>
            </w:tcBorders>
          </w:tcPr>
          <w:p w:rsidR="00B40C72" w:rsidRDefault="00A37874" w:rsidP="00AA3B74">
            <w:pPr>
              <w:pStyle w:val="Infotext"/>
              <w:jc w:val="both"/>
            </w:pPr>
            <w:r w:rsidRPr="00A37874">
              <w:t>x</w:t>
            </w:r>
          </w:p>
        </w:tc>
        <w:tc>
          <w:tcPr>
            <w:tcW w:w="133" w:type="pct"/>
            <w:tcBorders>
              <w:top w:val="nil"/>
              <w:bottom w:val="nil"/>
              <w:right w:val="nil"/>
            </w:tcBorders>
          </w:tcPr>
          <w:p w:rsidR="00B40C72" w:rsidRDefault="00B40C72" w:rsidP="00AA3B74">
            <w:pPr>
              <w:pStyle w:val="Infotext"/>
              <w:jc w:val="both"/>
            </w:pPr>
          </w:p>
        </w:tc>
        <w:tc>
          <w:tcPr>
            <w:tcW w:w="2300" w:type="pct"/>
            <w:tcBorders>
              <w:top w:val="nil"/>
              <w:left w:val="nil"/>
              <w:bottom w:val="nil"/>
            </w:tcBorders>
          </w:tcPr>
          <w:p w:rsidR="00B40C72" w:rsidRDefault="00E32E24" w:rsidP="00AA3B74">
            <w:pPr>
              <w:pStyle w:val="Infotext"/>
              <w:jc w:val="both"/>
              <w:rPr>
                <w:sz w:val="24"/>
                <w:szCs w:val="24"/>
              </w:rPr>
            </w:pPr>
            <w:r>
              <w:rPr>
                <w:sz w:val="24"/>
                <w:szCs w:val="24"/>
              </w:rPr>
              <w:t>Director of Finance</w:t>
            </w:r>
          </w:p>
        </w:tc>
      </w:tr>
      <w:tr w:rsidR="00696FC4" w:rsidTr="00592E64">
        <w:tc>
          <w:tcPr>
            <w:tcW w:w="2321" w:type="pct"/>
            <w:tcBorders>
              <w:top w:val="nil"/>
              <w:right w:val="nil"/>
            </w:tcBorders>
          </w:tcPr>
          <w:p w:rsidR="00696FC4" w:rsidRDefault="00696FC4" w:rsidP="00AA3B74">
            <w:pPr>
              <w:pStyle w:val="Infotext"/>
              <w:jc w:val="both"/>
              <w:rPr>
                <w:sz w:val="24"/>
                <w:szCs w:val="24"/>
              </w:rPr>
            </w:pPr>
            <w:r>
              <w:rPr>
                <w:sz w:val="24"/>
                <w:szCs w:val="24"/>
              </w:rPr>
              <w:t xml:space="preserve"> </w:t>
            </w:r>
          </w:p>
          <w:p w:rsidR="00696FC4" w:rsidRDefault="00696FC4" w:rsidP="00AA3B74">
            <w:pPr>
              <w:pStyle w:val="Infotext"/>
              <w:jc w:val="both"/>
              <w:rPr>
                <w:sz w:val="24"/>
                <w:szCs w:val="24"/>
              </w:rPr>
            </w:pPr>
            <w:r>
              <w:rPr>
                <w:sz w:val="24"/>
                <w:szCs w:val="24"/>
              </w:rPr>
              <w:t xml:space="preserve">Date:   </w:t>
            </w:r>
            <w:r w:rsidR="00A37874">
              <w:rPr>
                <w:sz w:val="24"/>
                <w:szCs w:val="24"/>
              </w:rPr>
              <w:t>8.06.2018</w:t>
            </w:r>
          </w:p>
        </w:tc>
        <w:tc>
          <w:tcPr>
            <w:tcW w:w="247" w:type="pct"/>
            <w:tcBorders>
              <w:left w:val="nil"/>
              <w:bottom w:val="single" w:sz="4" w:space="0" w:color="auto"/>
              <w:right w:val="nil"/>
            </w:tcBorders>
          </w:tcPr>
          <w:p w:rsidR="00696FC4" w:rsidRDefault="00696FC4" w:rsidP="00AA3B74">
            <w:pPr>
              <w:pStyle w:val="Infotext"/>
              <w:jc w:val="both"/>
            </w:pPr>
          </w:p>
        </w:tc>
        <w:tc>
          <w:tcPr>
            <w:tcW w:w="133" w:type="pct"/>
            <w:tcBorders>
              <w:top w:val="nil"/>
              <w:left w:val="nil"/>
              <w:right w:val="nil"/>
            </w:tcBorders>
          </w:tcPr>
          <w:p w:rsidR="00696FC4" w:rsidRDefault="00696FC4" w:rsidP="00AA3B74">
            <w:pPr>
              <w:pStyle w:val="Infotext"/>
              <w:jc w:val="both"/>
            </w:pPr>
          </w:p>
        </w:tc>
        <w:tc>
          <w:tcPr>
            <w:tcW w:w="2300" w:type="pct"/>
            <w:tcBorders>
              <w:top w:val="nil"/>
              <w:left w:val="nil"/>
            </w:tcBorders>
          </w:tcPr>
          <w:p w:rsidR="00696FC4" w:rsidRDefault="00696FC4" w:rsidP="00AA3B74">
            <w:pPr>
              <w:pStyle w:val="Infotext"/>
              <w:jc w:val="both"/>
              <w:rPr>
                <w:sz w:val="24"/>
                <w:szCs w:val="24"/>
              </w:rPr>
            </w:pPr>
          </w:p>
        </w:tc>
      </w:tr>
      <w:tr w:rsidR="00696FC4" w:rsidTr="00592E64">
        <w:tc>
          <w:tcPr>
            <w:tcW w:w="2321" w:type="pct"/>
            <w:tcBorders>
              <w:bottom w:val="nil"/>
              <w:right w:val="nil"/>
            </w:tcBorders>
          </w:tcPr>
          <w:p w:rsidR="00696FC4" w:rsidRDefault="00696FC4" w:rsidP="00AA3B74">
            <w:pPr>
              <w:pStyle w:val="Infotext"/>
              <w:jc w:val="both"/>
              <w:rPr>
                <w:sz w:val="24"/>
                <w:szCs w:val="24"/>
              </w:rPr>
            </w:pPr>
          </w:p>
        </w:tc>
        <w:tc>
          <w:tcPr>
            <w:tcW w:w="247" w:type="pct"/>
            <w:tcBorders>
              <w:left w:val="nil"/>
              <w:right w:val="nil"/>
            </w:tcBorders>
          </w:tcPr>
          <w:p w:rsidR="00696FC4" w:rsidRDefault="00696FC4" w:rsidP="00AA3B74">
            <w:pPr>
              <w:pStyle w:val="Infotext"/>
              <w:jc w:val="both"/>
            </w:pPr>
          </w:p>
        </w:tc>
        <w:tc>
          <w:tcPr>
            <w:tcW w:w="133" w:type="pct"/>
            <w:tcBorders>
              <w:left w:val="nil"/>
              <w:bottom w:val="nil"/>
              <w:right w:val="nil"/>
            </w:tcBorders>
          </w:tcPr>
          <w:p w:rsidR="00696FC4" w:rsidRDefault="00696FC4" w:rsidP="00AA3B74">
            <w:pPr>
              <w:pStyle w:val="Infotext"/>
              <w:jc w:val="both"/>
            </w:pPr>
          </w:p>
        </w:tc>
        <w:tc>
          <w:tcPr>
            <w:tcW w:w="2300" w:type="pct"/>
            <w:tcBorders>
              <w:left w:val="nil"/>
              <w:bottom w:val="nil"/>
            </w:tcBorders>
          </w:tcPr>
          <w:p w:rsidR="00696FC4" w:rsidRDefault="00696FC4" w:rsidP="00AA3B74">
            <w:pPr>
              <w:pStyle w:val="Infotext"/>
              <w:jc w:val="both"/>
              <w:rPr>
                <w:sz w:val="24"/>
                <w:szCs w:val="24"/>
              </w:rPr>
            </w:pPr>
            <w:r>
              <w:rPr>
                <w:sz w:val="24"/>
                <w:szCs w:val="24"/>
              </w:rPr>
              <w:t>on behalf of the</w:t>
            </w:r>
          </w:p>
        </w:tc>
      </w:tr>
      <w:tr w:rsidR="00696FC4" w:rsidTr="00592E64">
        <w:tc>
          <w:tcPr>
            <w:tcW w:w="2321" w:type="pct"/>
            <w:tcBorders>
              <w:top w:val="nil"/>
              <w:bottom w:val="nil"/>
            </w:tcBorders>
          </w:tcPr>
          <w:p w:rsidR="00696FC4" w:rsidRDefault="00696FC4" w:rsidP="00AA3B74">
            <w:pPr>
              <w:pStyle w:val="Infotext"/>
              <w:jc w:val="both"/>
              <w:rPr>
                <w:sz w:val="24"/>
                <w:szCs w:val="24"/>
              </w:rPr>
            </w:pPr>
            <w:r>
              <w:rPr>
                <w:sz w:val="24"/>
                <w:szCs w:val="24"/>
              </w:rPr>
              <w:t xml:space="preserve">Name:  </w:t>
            </w:r>
            <w:r w:rsidR="000112E9">
              <w:rPr>
                <w:sz w:val="24"/>
                <w:szCs w:val="24"/>
              </w:rPr>
              <w:t>Jessica Farmer</w:t>
            </w:r>
          </w:p>
        </w:tc>
        <w:tc>
          <w:tcPr>
            <w:tcW w:w="247" w:type="pct"/>
            <w:tcBorders>
              <w:bottom w:val="single" w:sz="4" w:space="0" w:color="auto"/>
            </w:tcBorders>
          </w:tcPr>
          <w:p w:rsidR="00696FC4" w:rsidRDefault="00F309B7" w:rsidP="00AA3B74">
            <w:pPr>
              <w:pStyle w:val="Infotext"/>
              <w:jc w:val="both"/>
            </w:pPr>
            <w:r>
              <w:t>x</w:t>
            </w:r>
          </w:p>
        </w:tc>
        <w:tc>
          <w:tcPr>
            <w:tcW w:w="133" w:type="pct"/>
            <w:tcBorders>
              <w:top w:val="nil"/>
              <w:bottom w:val="nil"/>
              <w:right w:val="nil"/>
            </w:tcBorders>
          </w:tcPr>
          <w:p w:rsidR="00696FC4" w:rsidRDefault="00696FC4" w:rsidP="00AA3B74">
            <w:pPr>
              <w:pStyle w:val="Infotext"/>
              <w:jc w:val="both"/>
            </w:pPr>
          </w:p>
        </w:tc>
        <w:tc>
          <w:tcPr>
            <w:tcW w:w="2300" w:type="pct"/>
            <w:tcBorders>
              <w:top w:val="nil"/>
              <w:left w:val="nil"/>
              <w:bottom w:val="nil"/>
            </w:tcBorders>
          </w:tcPr>
          <w:p w:rsidR="00696FC4" w:rsidRDefault="00696FC4" w:rsidP="00AA3B74">
            <w:pPr>
              <w:pStyle w:val="Infotext"/>
              <w:jc w:val="both"/>
              <w:rPr>
                <w:sz w:val="24"/>
                <w:szCs w:val="24"/>
              </w:rPr>
            </w:pPr>
            <w:r>
              <w:rPr>
                <w:sz w:val="24"/>
                <w:szCs w:val="24"/>
              </w:rPr>
              <w:t>Monitoring Officer</w:t>
            </w:r>
          </w:p>
        </w:tc>
      </w:tr>
      <w:tr w:rsidR="00696FC4" w:rsidTr="00A37874">
        <w:trPr>
          <w:trHeight w:val="592"/>
        </w:trPr>
        <w:tc>
          <w:tcPr>
            <w:tcW w:w="2321" w:type="pct"/>
            <w:tcBorders>
              <w:top w:val="nil"/>
              <w:right w:val="nil"/>
            </w:tcBorders>
          </w:tcPr>
          <w:p w:rsidR="00696FC4" w:rsidRDefault="00696FC4" w:rsidP="00AA3B74">
            <w:pPr>
              <w:pStyle w:val="Infotext"/>
              <w:jc w:val="both"/>
              <w:rPr>
                <w:sz w:val="24"/>
                <w:szCs w:val="24"/>
              </w:rPr>
            </w:pPr>
          </w:p>
          <w:p w:rsidR="00696FC4" w:rsidRDefault="00696FC4" w:rsidP="00AA3B74">
            <w:pPr>
              <w:pStyle w:val="Infotext"/>
              <w:jc w:val="both"/>
              <w:rPr>
                <w:sz w:val="24"/>
                <w:szCs w:val="24"/>
              </w:rPr>
            </w:pPr>
            <w:r>
              <w:rPr>
                <w:sz w:val="24"/>
                <w:szCs w:val="24"/>
              </w:rPr>
              <w:t xml:space="preserve">Date:  </w:t>
            </w:r>
            <w:r w:rsidR="00F309B7">
              <w:rPr>
                <w:sz w:val="24"/>
                <w:szCs w:val="24"/>
              </w:rPr>
              <w:t>22.05.2018</w:t>
            </w:r>
          </w:p>
          <w:p w:rsidR="00592E64" w:rsidRDefault="00592E64" w:rsidP="00AA3B74">
            <w:pPr>
              <w:pStyle w:val="Infotext"/>
              <w:jc w:val="both"/>
              <w:rPr>
                <w:sz w:val="24"/>
                <w:szCs w:val="24"/>
              </w:rPr>
            </w:pPr>
          </w:p>
          <w:p w:rsidR="00696FC4" w:rsidRDefault="00696FC4">
            <w:pPr>
              <w:pStyle w:val="Infotext"/>
              <w:jc w:val="both"/>
              <w:rPr>
                <w:sz w:val="24"/>
                <w:szCs w:val="24"/>
              </w:rPr>
            </w:pPr>
          </w:p>
        </w:tc>
        <w:tc>
          <w:tcPr>
            <w:tcW w:w="247" w:type="pct"/>
            <w:tcBorders>
              <w:left w:val="nil"/>
              <w:right w:val="nil"/>
            </w:tcBorders>
          </w:tcPr>
          <w:p w:rsidR="00696FC4" w:rsidRDefault="00696FC4" w:rsidP="00AA3B74">
            <w:pPr>
              <w:pStyle w:val="Infotext"/>
              <w:jc w:val="both"/>
            </w:pPr>
          </w:p>
        </w:tc>
        <w:tc>
          <w:tcPr>
            <w:tcW w:w="133" w:type="pct"/>
            <w:tcBorders>
              <w:top w:val="nil"/>
              <w:left w:val="nil"/>
              <w:right w:val="nil"/>
            </w:tcBorders>
          </w:tcPr>
          <w:p w:rsidR="00696FC4" w:rsidRDefault="00696FC4" w:rsidP="00AA3B74">
            <w:pPr>
              <w:pStyle w:val="Infotext"/>
              <w:jc w:val="both"/>
            </w:pPr>
          </w:p>
        </w:tc>
        <w:tc>
          <w:tcPr>
            <w:tcW w:w="2300" w:type="pct"/>
            <w:tcBorders>
              <w:top w:val="nil"/>
              <w:left w:val="nil"/>
            </w:tcBorders>
          </w:tcPr>
          <w:p w:rsidR="00696FC4" w:rsidRDefault="00696FC4" w:rsidP="00AA3B74">
            <w:pPr>
              <w:pStyle w:val="Infotext"/>
              <w:jc w:val="both"/>
            </w:pPr>
          </w:p>
          <w:p w:rsidR="00696FC4" w:rsidRDefault="00696FC4" w:rsidP="00AA3B74">
            <w:pPr>
              <w:pStyle w:val="Infotext"/>
              <w:jc w:val="both"/>
            </w:pPr>
          </w:p>
        </w:tc>
      </w:tr>
      <w:tr w:rsidR="00592E64" w:rsidRPr="007662D9" w:rsidTr="00940CC4">
        <w:tc>
          <w:tcPr>
            <w:tcW w:w="2321" w:type="pct"/>
            <w:tcBorders>
              <w:bottom w:val="nil"/>
              <w:right w:val="nil"/>
            </w:tcBorders>
          </w:tcPr>
          <w:p w:rsidR="00592E64" w:rsidRPr="007662D9" w:rsidRDefault="00592E64" w:rsidP="00940CC4">
            <w:pPr>
              <w:pStyle w:val="Infotext"/>
              <w:rPr>
                <w:sz w:val="24"/>
                <w:szCs w:val="24"/>
              </w:rPr>
            </w:pPr>
          </w:p>
        </w:tc>
        <w:tc>
          <w:tcPr>
            <w:tcW w:w="247" w:type="pct"/>
            <w:tcBorders>
              <w:left w:val="nil"/>
              <w:right w:val="nil"/>
            </w:tcBorders>
          </w:tcPr>
          <w:p w:rsidR="00592E64" w:rsidRPr="007662D9" w:rsidRDefault="00592E64" w:rsidP="00940CC4">
            <w:pPr>
              <w:pStyle w:val="Infotext"/>
            </w:pPr>
          </w:p>
        </w:tc>
        <w:tc>
          <w:tcPr>
            <w:tcW w:w="133" w:type="pct"/>
            <w:tcBorders>
              <w:left w:val="nil"/>
              <w:bottom w:val="nil"/>
              <w:right w:val="nil"/>
            </w:tcBorders>
          </w:tcPr>
          <w:p w:rsidR="00592E64" w:rsidRPr="007662D9" w:rsidRDefault="00592E64" w:rsidP="00940CC4">
            <w:pPr>
              <w:pStyle w:val="Infotext"/>
            </w:pPr>
          </w:p>
        </w:tc>
        <w:tc>
          <w:tcPr>
            <w:tcW w:w="2299" w:type="pct"/>
            <w:tcBorders>
              <w:left w:val="nil"/>
              <w:bottom w:val="nil"/>
            </w:tcBorders>
          </w:tcPr>
          <w:p w:rsidR="00592E64" w:rsidRPr="007662D9" w:rsidRDefault="00592E64" w:rsidP="00940CC4">
            <w:pPr>
              <w:pStyle w:val="Infotext"/>
              <w:rPr>
                <w:sz w:val="24"/>
                <w:szCs w:val="24"/>
              </w:rPr>
            </w:pPr>
            <w:r w:rsidRPr="007662D9">
              <w:rPr>
                <w:sz w:val="24"/>
                <w:szCs w:val="24"/>
              </w:rPr>
              <w:t>on behalf of the</w:t>
            </w:r>
          </w:p>
        </w:tc>
      </w:tr>
      <w:tr w:rsidR="00592E64" w:rsidRPr="00062C49" w:rsidTr="00940CC4">
        <w:tc>
          <w:tcPr>
            <w:tcW w:w="2321" w:type="pct"/>
            <w:tcBorders>
              <w:top w:val="nil"/>
              <w:bottom w:val="nil"/>
            </w:tcBorders>
          </w:tcPr>
          <w:p w:rsidR="00592E64" w:rsidRPr="007662D9" w:rsidRDefault="00592E64" w:rsidP="00940CC4">
            <w:pPr>
              <w:pStyle w:val="Infotext"/>
              <w:rPr>
                <w:sz w:val="24"/>
                <w:szCs w:val="24"/>
              </w:rPr>
            </w:pPr>
            <w:r w:rsidRPr="007662D9">
              <w:rPr>
                <w:sz w:val="24"/>
                <w:szCs w:val="24"/>
              </w:rPr>
              <w:t xml:space="preserve">Name: </w:t>
            </w:r>
            <w:r>
              <w:rPr>
                <w:sz w:val="24"/>
                <w:szCs w:val="24"/>
              </w:rPr>
              <w:t xml:space="preserve"> </w:t>
            </w:r>
            <w:r w:rsidRPr="007662D9">
              <w:rPr>
                <w:sz w:val="24"/>
                <w:szCs w:val="24"/>
              </w:rPr>
              <w:t xml:space="preserve"> </w:t>
            </w:r>
            <w:r>
              <w:rPr>
                <w:sz w:val="24"/>
                <w:szCs w:val="24"/>
              </w:rPr>
              <w:t>Nimesh Mehta</w:t>
            </w:r>
          </w:p>
        </w:tc>
        <w:tc>
          <w:tcPr>
            <w:tcW w:w="247" w:type="pct"/>
            <w:tcBorders>
              <w:bottom w:val="single" w:sz="4" w:space="0" w:color="auto"/>
            </w:tcBorders>
          </w:tcPr>
          <w:p w:rsidR="00592E64" w:rsidRPr="007662D9" w:rsidRDefault="00F309B7" w:rsidP="00A37874">
            <w:pPr>
              <w:pStyle w:val="Infotext"/>
              <w:jc w:val="both"/>
              <w:rPr>
                <w:rFonts w:ascii="MS Shell Dlg 2" w:hAnsi="MS Shell Dlg 2" w:cs="MS Shell Dlg 2"/>
                <w:sz w:val="17"/>
                <w:szCs w:val="17"/>
                <w:lang w:eastAsia="en-GB"/>
              </w:rPr>
            </w:pPr>
            <w:r w:rsidRPr="00A37874">
              <w:t>x</w:t>
            </w:r>
          </w:p>
        </w:tc>
        <w:tc>
          <w:tcPr>
            <w:tcW w:w="133" w:type="pct"/>
            <w:tcBorders>
              <w:top w:val="nil"/>
              <w:bottom w:val="nil"/>
              <w:right w:val="nil"/>
            </w:tcBorders>
          </w:tcPr>
          <w:p w:rsidR="00592E64" w:rsidRPr="007662D9" w:rsidRDefault="00592E64" w:rsidP="00940CC4">
            <w:pPr>
              <w:pStyle w:val="Infotext"/>
            </w:pPr>
          </w:p>
        </w:tc>
        <w:tc>
          <w:tcPr>
            <w:tcW w:w="2299" w:type="pct"/>
            <w:tcBorders>
              <w:top w:val="nil"/>
              <w:left w:val="nil"/>
              <w:bottom w:val="nil"/>
            </w:tcBorders>
          </w:tcPr>
          <w:p w:rsidR="00592E64" w:rsidRPr="00062C49" w:rsidRDefault="00592E64" w:rsidP="00940CC4">
            <w:pPr>
              <w:pStyle w:val="Infotext"/>
              <w:rPr>
                <w:sz w:val="24"/>
                <w:szCs w:val="24"/>
              </w:rPr>
            </w:pPr>
            <w:r w:rsidRPr="00062C49">
              <w:rPr>
                <w:sz w:val="24"/>
                <w:szCs w:val="24"/>
              </w:rPr>
              <w:t>Head of Procurement</w:t>
            </w:r>
          </w:p>
        </w:tc>
      </w:tr>
      <w:tr w:rsidR="00592E64" w:rsidRPr="007662D9" w:rsidTr="00940CC4">
        <w:tc>
          <w:tcPr>
            <w:tcW w:w="2321" w:type="pct"/>
            <w:tcBorders>
              <w:top w:val="nil"/>
              <w:right w:val="nil"/>
            </w:tcBorders>
          </w:tcPr>
          <w:p w:rsidR="00592E64" w:rsidRPr="007662D9" w:rsidRDefault="00592E64" w:rsidP="00940CC4">
            <w:pPr>
              <w:pStyle w:val="Infotext"/>
              <w:rPr>
                <w:sz w:val="24"/>
                <w:szCs w:val="24"/>
              </w:rPr>
            </w:pPr>
          </w:p>
          <w:p w:rsidR="00592E64" w:rsidRPr="007662D9" w:rsidRDefault="00592E64">
            <w:pPr>
              <w:pStyle w:val="Infotext"/>
              <w:rPr>
                <w:sz w:val="24"/>
                <w:szCs w:val="24"/>
              </w:rPr>
            </w:pPr>
            <w:r w:rsidRPr="007662D9">
              <w:rPr>
                <w:sz w:val="24"/>
                <w:szCs w:val="24"/>
              </w:rPr>
              <w:t xml:space="preserve">Date:   </w:t>
            </w:r>
            <w:r w:rsidR="00F309B7">
              <w:rPr>
                <w:sz w:val="24"/>
                <w:szCs w:val="24"/>
              </w:rPr>
              <w:t>07.06.2018</w:t>
            </w:r>
            <w:r w:rsidRPr="007662D9">
              <w:rPr>
                <w:sz w:val="24"/>
                <w:szCs w:val="24"/>
              </w:rPr>
              <w:t xml:space="preserve">   </w:t>
            </w:r>
          </w:p>
        </w:tc>
        <w:tc>
          <w:tcPr>
            <w:tcW w:w="247" w:type="pct"/>
            <w:tcBorders>
              <w:left w:val="nil"/>
              <w:right w:val="nil"/>
            </w:tcBorders>
          </w:tcPr>
          <w:p w:rsidR="00592E64" w:rsidRPr="007662D9" w:rsidRDefault="00592E64" w:rsidP="00940CC4">
            <w:pPr>
              <w:pStyle w:val="Infotext"/>
            </w:pPr>
          </w:p>
        </w:tc>
        <w:tc>
          <w:tcPr>
            <w:tcW w:w="133" w:type="pct"/>
            <w:tcBorders>
              <w:top w:val="nil"/>
              <w:left w:val="nil"/>
              <w:right w:val="nil"/>
            </w:tcBorders>
          </w:tcPr>
          <w:p w:rsidR="00592E64" w:rsidRPr="007662D9" w:rsidRDefault="00592E64" w:rsidP="00940CC4">
            <w:pPr>
              <w:pStyle w:val="Infotext"/>
            </w:pPr>
          </w:p>
        </w:tc>
        <w:tc>
          <w:tcPr>
            <w:tcW w:w="2299" w:type="pct"/>
            <w:tcBorders>
              <w:top w:val="nil"/>
              <w:left w:val="nil"/>
            </w:tcBorders>
          </w:tcPr>
          <w:p w:rsidR="00592E64" w:rsidRPr="007662D9" w:rsidRDefault="00592E64" w:rsidP="00940CC4">
            <w:pPr>
              <w:pStyle w:val="Infotext"/>
            </w:pPr>
          </w:p>
          <w:p w:rsidR="00592E64" w:rsidRPr="007662D9" w:rsidRDefault="00592E64" w:rsidP="00940CC4">
            <w:pPr>
              <w:pStyle w:val="Infotext"/>
            </w:pPr>
          </w:p>
        </w:tc>
      </w:tr>
    </w:tbl>
    <w:p w:rsidR="00696FC4" w:rsidRDefault="00696FC4" w:rsidP="00AA3B7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3"/>
        <w:gridCol w:w="3894"/>
      </w:tblGrid>
      <w:tr w:rsidR="000A55D4">
        <w:trPr>
          <w:trHeight w:val="965"/>
        </w:trPr>
        <w:tc>
          <w:tcPr>
            <w:tcW w:w="3025" w:type="pct"/>
            <w:tcBorders>
              <w:right w:val="nil"/>
            </w:tcBorders>
          </w:tcPr>
          <w:p w:rsidR="000A55D4" w:rsidRDefault="000A55D4" w:rsidP="00AA3B74">
            <w:pPr>
              <w:pStyle w:val="Infotext"/>
              <w:jc w:val="both"/>
              <w:rPr>
                <w:rFonts w:ascii="Arial Black" w:hAnsi="Arial Black"/>
              </w:rPr>
            </w:pPr>
          </w:p>
          <w:p w:rsidR="000A55D4" w:rsidRDefault="000A55D4" w:rsidP="00AA3B74">
            <w:pPr>
              <w:pStyle w:val="Infotext"/>
              <w:jc w:val="both"/>
              <w:rPr>
                <w:rFonts w:ascii="Arial Black" w:hAnsi="Arial Black"/>
              </w:rPr>
            </w:pPr>
            <w:r>
              <w:rPr>
                <w:rFonts w:ascii="Arial Black" w:hAnsi="Arial Black"/>
              </w:rPr>
              <w:t>Ward Councillors notified:</w:t>
            </w:r>
          </w:p>
          <w:p w:rsidR="000A55D4" w:rsidRDefault="000A55D4" w:rsidP="00AA3B74">
            <w:pPr>
              <w:pStyle w:val="Infotext"/>
              <w:jc w:val="both"/>
            </w:pPr>
          </w:p>
        </w:tc>
        <w:tc>
          <w:tcPr>
            <w:tcW w:w="1975" w:type="pct"/>
            <w:tcBorders>
              <w:left w:val="nil"/>
            </w:tcBorders>
          </w:tcPr>
          <w:p w:rsidR="000A55D4" w:rsidRDefault="000A55D4" w:rsidP="00AA3B74">
            <w:pPr>
              <w:pStyle w:val="Infotext"/>
              <w:jc w:val="both"/>
            </w:pPr>
          </w:p>
          <w:p w:rsidR="000A55D4" w:rsidRPr="00EF3D60" w:rsidRDefault="000A55D4" w:rsidP="00AA3B74">
            <w:pPr>
              <w:pStyle w:val="Infotext"/>
              <w:spacing w:before="120"/>
              <w:jc w:val="both"/>
              <w:rPr>
                <w:sz w:val="24"/>
                <w:szCs w:val="24"/>
              </w:rPr>
            </w:pPr>
            <w:r w:rsidRPr="00EF3D60">
              <w:rPr>
                <w:sz w:val="24"/>
                <w:szCs w:val="24"/>
              </w:rPr>
              <w:t xml:space="preserve">NO </w:t>
            </w:r>
          </w:p>
          <w:p w:rsidR="000A55D4" w:rsidRDefault="000A55D4" w:rsidP="00AA3B74">
            <w:pPr>
              <w:pStyle w:val="Infotext"/>
              <w:jc w:val="both"/>
              <w:rPr>
                <w:i/>
                <w:sz w:val="24"/>
                <w:szCs w:val="24"/>
              </w:rPr>
            </w:pPr>
            <w:r>
              <w:rPr>
                <w:i/>
                <w:sz w:val="24"/>
                <w:szCs w:val="24"/>
              </w:rPr>
              <w:t xml:space="preserve"> </w:t>
            </w:r>
          </w:p>
          <w:p w:rsidR="000A55D4" w:rsidRPr="003D78F6" w:rsidRDefault="000A55D4" w:rsidP="00AA3B74">
            <w:pPr>
              <w:pStyle w:val="Infotext"/>
              <w:ind w:left="173"/>
              <w:jc w:val="both"/>
              <w:rPr>
                <w:i/>
                <w:sz w:val="24"/>
                <w:szCs w:val="24"/>
              </w:rPr>
            </w:pPr>
          </w:p>
        </w:tc>
      </w:tr>
      <w:tr w:rsidR="00AC7BFC" w:rsidRPr="00303FD6" w:rsidTr="00AC7BFC">
        <w:trPr>
          <w:trHeight w:val="965"/>
        </w:trPr>
        <w:tc>
          <w:tcPr>
            <w:tcW w:w="3025" w:type="pct"/>
            <w:tcBorders>
              <w:top w:val="single" w:sz="4" w:space="0" w:color="auto"/>
              <w:left w:val="single" w:sz="4" w:space="0" w:color="auto"/>
              <w:bottom w:val="single" w:sz="4" w:space="0" w:color="auto"/>
              <w:right w:val="nil"/>
            </w:tcBorders>
          </w:tcPr>
          <w:p w:rsidR="00AC7BFC" w:rsidRPr="00AC7BFC" w:rsidRDefault="00AC7BFC" w:rsidP="00AA3B74">
            <w:pPr>
              <w:pStyle w:val="Infotext"/>
              <w:jc w:val="both"/>
              <w:rPr>
                <w:rFonts w:ascii="Arial Black" w:hAnsi="Arial Black"/>
              </w:rPr>
            </w:pPr>
          </w:p>
          <w:p w:rsidR="00AC7BFC" w:rsidRPr="00202D79" w:rsidRDefault="00AC7BFC" w:rsidP="00AA3B74">
            <w:pPr>
              <w:pStyle w:val="Infotext"/>
              <w:jc w:val="both"/>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AC7BFC" w:rsidRPr="00202D79" w:rsidRDefault="00AC7BFC" w:rsidP="00AA3B74">
            <w:pPr>
              <w:pStyle w:val="Infotext"/>
              <w:jc w:val="both"/>
              <w:rPr>
                <w:rFonts w:ascii="Arial Black" w:hAnsi="Arial Black"/>
              </w:rPr>
            </w:pPr>
          </w:p>
          <w:p w:rsidR="00AC7BFC" w:rsidRPr="00AC7BFC" w:rsidRDefault="00AC7BFC" w:rsidP="00AA3B74">
            <w:pPr>
              <w:pStyle w:val="Infotext"/>
              <w:jc w:val="both"/>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rsidR="00AC7BFC" w:rsidRPr="00AC7BFC" w:rsidRDefault="00AC7BFC" w:rsidP="00AA3B74">
            <w:pPr>
              <w:pStyle w:val="Infotext"/>
              <w:jc w:val="both"/>
            </w:pPr>
          </w:p>
          <w:p w:rsidR="00AC7BFC" w:rsidRPr="00EF3D60" w:rsidRDefault="00AC7BFC" w:rsidP="00AA3B74">
            <w:pPr>
              <w:pStyle w:val="Infotext"/>
              <w:jc w:val="both"/>
              <w:rPr>
                <w:sz w:val="24"/>
                <w:szCs w:val="24"/>
              </w:rPr>
            </w:pPr>
            <w:r w:rsidRPr="00EF3D60">
              <w:rPr>
                <w:sz w:val="24"/>
                <w:szCs w:val="24"/>
              </w:rPr>
              <w:t>NO</w:t>
            </w:r>
          </w:p>
          <w:p w:rsidR="00AC7BFC" w:rsidRPr="00AC7BFC" w:rsidRDefault="00AC7BFC" w:rsidP="00AA3B74">
            <w:pPr>
              <w:pStyle w:val="Infotext"/>
              <w:jc w:val="both"/>
            </w:pPr>
          </w:p>
          <w:p w:rsidR="00AC7BFC" w:rsidRPr="00AC7BFC" w:rsidRDefault="00AC7BFC" w:rsidP="00AA3B74">
            <w:pPr>
              <w:pStyle w:val="Infotext"/>
              <w:jc w:val="both"/>
            </w:pPr>
          </w:p>
          <w:p w:rsidR="00AC7BFC" w:rsidRPr="00EF3D60" w:rsidRDefault="00AC7BFC" w:rsidP="00AA3B74">
            <w:pPr>
              <w:pStyle w:val="Infotext"/>
              <w:jc w:val="both"/>
              <w:rPr>
                <w:sz w:val="24"/>
                <w:szCs w:val="24"/>
              </w:rPr>
            </w:pPr>
            <w:r w:rsidRPr="00EF3D60">
              <w:rPr>
                <w:sz w:val="24"/>
                <w:szCs w:val="24"/>
              </w:rPr>
              <w:t>N/A</w:t>
            </w:r>
          </w:p>
        </w:tc>
      </w:tr>
    </w:tbl>
    <w:p w:rsidR="000A55D4" w:rsidRPr="000A55D4" w:rsidRDefault="000A55D4" w:rsidP="00AA3B74">
      <w:pPr>
        <w:jc w:val="both"/>
        <w:rPr>
          <w:rFonts w:cs="Arial"/>
        </w:rPr>
      </w:pPr>
    </w:p>
    <w:p w:rsidR="00696FC4" w:rsidRDefault="00696FC4" w:rsidP="00AA3B74">
      <w:pPr>
        <w:pStyle w:val="Heading1"/>
        <w:jc w:val="both"/>
      </w:pPr>
      <w:r>
        <w:t xml:space="preserve">Section </w:t>
      </w:r>
      <w:r w:rsidR="00457774">
        <w:t>4</w:t>
      </w:r>
      <w:r>
        <w:t xml:space="preserve"> - Contact Details and Background Papers</w:t>
      </w:r>
    </w:p>
    <w:p w:rsidR="00696FC4" w:rsidRDefault="00696FC4" w:rsidP="00AA3B74">
      <w:pPr>
        <w:jc w:val="both"/>
      </w:pPr>
    </w:p>
    <w:p w:rsidR="00696FC4" w:rsidRDefault="00696FC4" w:rsidP="00AA3B74">
      <w:pPr>
        <w:pStyle w:val="Infotext"/>
        <w:tabs>
          <w:tab w:val="left" w:pos="1309"/>
          <w:tab w:val="left" w:pos="7106"/>
          <w:tab w:val="left" w:pos="8976"/>
        </w:tabs>
        <w:ind w:left="1309" w:right="257" w:hanging="1309"/>
        <w:jc w:val="both"/>
        <w:rPr>
          <w:b/>
          <w:szCs w:val="28"/>
        </w:rPr>
      </w:pPr>
      <w:r>
        <w:rPr>
          <w:b/>
        </w:rPr>
        <w:t xml:space="preserve">Contact:  </w:t>
      </w:r>
      <w:r w:rsidR="00CB266A">
        <w:rPr>
          <w:sz w:val="24"/>
          <w:szCs w:val="24"/>
        </w:rPr>
        <w:t>S</w:t>
      </w:r>
      <w:r w:rsidR="00E32E24">
        <w:rPr>
          <w:sz w:val="24"/>
          <w:szCs w:val="24"/>
        </w:rPr>
        <w:t>haron Daniels</w:t>
      </w:r>
      <w:r w:rsidR="00EC6642">
        <w:rPr>
          <w:sz w:val="24"/>
          <w:szCs w:val="24"/>
        </w:rPr>
        <w:t xml:space="preserve"> (</w:t>
      </w:r>
      <w:r w:rsidR="00E32E24">
        <w:rPr>
          <w:sz w:val="24"/>
          <w:szCs w:val="24"/>
        </w:rPr>
        <w:t>Sharon.daniels</w:t>
      </w:r>
      <w:r w:rsidR="00EC6642">
        <w:rPr>
          <w:sz w:val="24"/>
          <w:szCs w:val="24"/>
        </w:rPr>
        <w:t>@harrow.gov.uk)</w:t>
      </w:r>
    </w:p>
    <w:p w:rsidR="00696FC4" w:rsidRDefault="00696FC4" w:rsidP="00AA3B74">
      <w:pPr>
        <w:pStyle w:val="Infotext"/>
        <w:jc w:val="both"/>
        <w:rPr>
          <w:b/>
        </w:rPr>
      </w:pPr>
      <w:r>
        <w:rPr>
          <w:b/>
        </w:rPr>
        <w:t xml:space="preserve">Background Papers: </w:t>
      </w:r>
    </w:p>
    <w:p w:rsidR="00C508E3" w:rsidRDefault="00C508E3" w:rsidP="00AA3B74">
      <w:pPr>
        <w:pStyle w:val="Infotext"/>
        <w:jc w:val="both"/>
        <w:rPr>
          <w:sz w:val="24"/>
          <w:szCs w:val="24"/>
        </w:rPr>
      </w:pPr>
    </w:p>
    <w:p w:rsidR="00696FC4" w:rsidRDefault="003630A2" w:rsidP="00AA3B74">
      <w:pPr>
        <w:pStyle w:val="Infotext"/>
        <w:tabs>
          <w:tab w:val="left" w:pos="8976"/>
        </w:tabs>
        <w:ind w:right="257"/>
        <w:jc w:val="both"/>
        <w:rPr>
          <w:color w:val="FF0000"/>
          <w:sz w:val="24"/>
          <w:szCs w:val="24"/>
        </w:rPr>
      </w:pPr>
      <w:hyperlink r:id="rId17" w:history="1">
        <w:r w:rsidR="005D75A6" w:rsidRPr="005D75A6">
          <w:rPr>
            <w:rStyle w:val="Hyperlink"/>
            <w:rFonts w:cs="Times New Roman"/>
            <w:szCs w:val="24"/>
          </w:rPr>
          <w:t>..\..\..\..\BUDGET\Budget 2017-18\February Cabinet\Final report\Final Report Appendices for Daksha\V4 Final Budget Report 070217.doc</w:t>
        </w:r>
      </w:hyperlink>
    </w:p>
    <w:p w:rsidR="005D75A6" w:rsidRDefault="005D75A6" w:rsidP="00AA3B74">
      <w:pPr>
        <w:pStyle w:val="Infotext"/>
        <w:tabs>
          <w:tab w:val="left" w:pos="8976"/>
        </w:tabs>
        <w:ind w:right="257"/>
        <w:jc w:val="both"/>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7"/>
        <w:gridCol w:w="633"/>
        <w:gridCol w:w="4867"/>
      </w:tblGrid>
      <w:tr w:rsidR="00696FC4">
        <w:trPr>
          <w:trHeight w:val="965"/>
        </w:trPr>
        <w:tc>
          <w:tcPr>
            <w:tcW w:w="2210" w:type="pct"/>
            <w:tcBorders>
              <w:right w:val="nil"/>
            </w:tcBorders>
          </w:tcPr>
          <w:p w:rsidR="00696FC4" w:rsidRDefault="00696FC4" w:rsidP="00AA3B74">
            <w:pPr>
              <w:pStyle w:val="Infotext"/>
              <w:jc w:val="both"/>
              <w:rPr>
                <w:rFonts w:ascii="Arial Black" w:hAnsi="Arial Black"/>
              </w:rPr>
            </w:pPr>
            <w:r>
              <w:rPr>
                <w:rFonts w:ascii="Arial Black" w:hAnsi="Arial Black"/>
              </w:rPr>
              <w:t>Call-In Waived by the Chai</w:t>
            </w:r>
            <w:r w:rsidR="00592E64">
              <w:rPr>
                <w:rFonts w:ascii="Arial Black" w:hAnsi="Arial Black"/>
              </w:rPr>
              <w:t>r</w:t>
            </w:r>
            <w:r>
              <w:rPr>
                <w:rFonts w:ascii="Arial Black" w:hAnsi="Arial Black"/>
              </w:rPr>
              <w:t xml:space="preserve"> of Overview and Scrutiny Committee</w:t>
            </w:r>
          </w:p>
          <w:p w:rsidR="00696FC4" w:rsidRDefault="00696FC4" w:rsidP="00AA3B74">
            <w:pPr>
              <w:pStyle w:val="Infotext"/>
              <w:jc w:val="both"/>
            </w:pPr>
          </w:p>
        </w:tc>
        <w:tc>
          <w:tcPr>
            <w:tcW w:w="321" w:type="pct"/>
            <w:tcBorders>
              <w:left w:val="nil"/>
              <w:right w:val="nil"/>
            </w:tcBorders>
          </w:tcPr>
          <w:p w:rsidR="00696FC4" w:rsidRDefault="00696FC4" w:rsidP="00AA3B74">
            <w:pPr>
              <w:pStyle w:val="Infotext"/>
              <w:jc w:val="both"/>
            </w:pPr>
          </w:p>
        </w:tc>
        <w:tc>
          <w:tcPr>
            <w:tcW w:w="2469" w:type="pct"/>
            <w:tcBorders>
              <w:left w:val="nil"/>
            </w:tcBorders>
          </w:tcPr>
          <w:p w:rsidR="00696FC4" w:rsidRDefault="00696FC4" w:rsidP="00AA3B74">
            <w:pPr>
              <w:pStyle w:val="Infotext"/>
              <w:jc w:val="both"/>
            </w:pPr>
            <w:r>
              <w:rPr>
                <w:b/>
              </w:rPr>
              <w:t>NOT APPLICABLE</w:t>
            </w:r>
          </w:p>
          <w:p w:rsidR="00696FC4" w:rsidRDefault="00696FC4" w:rsidP="00AA3B74">
            <w:pPr>
              <w:pStyle w:val="Infotext"/>
              <w:jc w:val="both"/>
            </w:pPr>
          </w:p>
          <w:p w:rsidR="00696FC4" w:rsidRDefault="00696FC4" w:rsidP="00AA3B74">
            <w:pPr>
              <w:pStyle w:val="Infotext"/>
              <w:jc w:val="both"/>
              <w:rPr>
                <w:i/>
              </w:rPr>
            </w:pPr>
            <w:r>
              <w:rPr>
                <w:i/>
              </w:rPr>
              <w:t>[Call –in applies]</w:t>
            </w:r>
          </w:p>
          <w:p w:rsidR="00696FC4" w:rsidRDefault="00696FC4" w:rsidP="00AA3B74">
            <w:pPr>
              <w:pStyle w:val="Infotext"/>
              <w:jc w:val="both"/>
              <w:rPr>
                <w:i/>
              </w:rPr>
            </w:pPr>
          </w:p>
          <w:p w:rsidR="00D44ECE" w:rsidRDefault="00D44ECE" w:rsidP="00AA3B74">
            <w:pPr>
              <w:pStyle w:val="Infotext"/>
              <w:jc w:val="both"/>
              <w:rPr>
                <w:i/>
              </w:rPr>
            </w:pPr>
          </w:p>
          <w:p w:rsidR="00696FC4" w:rsidRDefault="00696FC4" w:rsidP="00AA3B74">
            <w:pPr>
              <w:pStyle w:val="Infotext"/>
              <w:jc w:val="both"/>
              <w:rPr>
                <w:i/>
                <w:sz w:val="24"/>
                <w:szCs w:val="24"/>
              </w:rPr>
            </w:pPr>
          </w:p>
        </w:tc>
      </w:tr>
    </w:tbl>
    <w:p w:rsidR="002A0969" w:rsidRDefault="002A0969" w:rsidP="00AA3B74">
      <w:pPr>
        <w:jc w:val="both"/>
        <w:rPr>
          <w:color w:val="FF0000"/>
        </w:rPr>
      </w:pPr>
    </w:p>
    <w:p w:rsidR="00D97AF1" w:rsidRDefault="00D97AF1" w:rsidP="00AA3B74">
      <w:pPr>
        <w:pStyle w:val="bullet4"/>
        <w:numPr>
          <w:ilvl w:val="0"/>
          <w:numId w:val="0"/>
        </w:numPr>
        <w:jc w:val="both"/>
        <w:rPr>
          <w:color w:val="FF0000"/>
        </w:rPr>
      </w:pPr>
    </w:p>
    <w:sectPr w:rsidR="00D97AF1" w:rsidSect="007E619C">
      <w:headerReference w:type="default" r:id="rId18"/>
      <w:headerReference w:type="first" r:id="rId19"/>
      <w:pgSz w:w="11909" w:h="16834" w:code="9"/>
      <w:pgMar w:top="1134" w:right="1134" w:bottom="760" w:left="1134" w:header="720"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96" w:rsidRDefault="00591F96">
      <w:r>
        <w:separator/>
      </w:r>
    </w:p>
  </w:endnote>
  <w:endnote w:type="continuationSeparator" w:id="0">
    <w:p w:rsidR="00591F96" w:rsidRDefault="0059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96" w:rsidRDefault="00591F96">
      <w:r>
        <w:separator/>
      </w:r>
    </w:p>
  </w:footnote>
  <w:footnote w:type="continuationSeparator" w:id="0">
    <w:p w:rsidR="00591F96" w:rsidRDefault="00591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96" w:rsidRDefault="00591F96" w:rsidP="00AA3B74">
    <w:pPr>
      <w:pStyle w:val="Header"/>
      <w:tabs>
        <w:tab w:val="clear" w:pos="4153"/>
        <w:tab w:val="clear" w:pos="8306"/>
        <w:tab w:val="left" w:pos="86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96" w:rsidRDefault="00591F96" w:rsidP="002A0969">
    <w:pPr>
      <w:pStyle w:val="Header"/>
      <w:jc w:val="right"/>
      <w:rPr>
        <w:b/>
      </w:rPr>
    </w:pPr>
  </w:p>
  <w:p w:rsidR="00591F96" w:rsidRPr="002A0969" w:rsidRDefault="00591F96" w:rsidP="002A0969">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40" w:hanging="34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b w:val="0"/>
      </w:rPr>
    </w:lvl>
  </w:abstractNum>
  <w:abstractNum w:abstractNumId="4">
    <w:nsid w:val="00A27A22"/>
    <w:multiLevelType w:val="hybridMultilevel"/>
    <w:tmpl w:val="BB10C482"/>
    <w:lvl w:ilvl="0" w:tplc="12C2068C">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01D44480"/>
    <w:multiLevelType w:val="hybridMultilevel"/>
    <w:tmpl w:val="28B63586"/>
    <w:lvl w:ilvl="0" w:tplc="D37E33E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26516B4"/>
    <w:multiLevelType w:val="hybridMultilevel"/>
    <w:tmpl w:val="54ACBD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27B67C1"/>
    <w:multiLevelType w:val="hybridMultilevel"/>
    <w:tmpl w:val="36D03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3F61E6B"/>
    <w:multiLevelType w:val="hybridMultilevel"/>
    <w:tmpl w:val="EF0AF7D8"/>
    <w:lvl w:ilvl="0" w:tplc="E0CEF6B2">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48E6BB7"/>
    <w:multiLevelType w:val="hybridMultilevel"/>
    <w:tmpl w:val="31E48174"/>
    <w:lvl w:ilvl="0" w:tplc="2B4204C2">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6116E21"/>
    <w:multiLevelType w:val="hybridMultilevel"/>
    <w:tmpl w:val="4A0A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872A75"/>
    <w:multiLevelType w:val="hybridMultilevel"/>
    <w:tmpl w:val="29BA4FC6"/>
    <w:lvl w:ilvl="0" w:tplc="35C2D996">
      <w:start w:val="4"/>
      <w:numFmt w:val="decimal"/>
      <w:lvlText w:val="%1."/>
      <w:lvlJc w:val="left"/>
      <w:pPr>
        <w:tabs>
          <w:tab w:val="num" w:pos="388"/>
        </w:tabs>
        <w:ind w:left="388" w:hanging="360"/>
      </w:pPr>
      <w:rPr>
        <w:rFonts w:hint="default"/>
        <w:b w:val="0"/>
        <w:i w:val="0"/>
        <w14:shadow w14:blurRad="50800" w14:dist="50800" w14:dir="5400000" w14:sx="0" w14:sy="0" w14:kx="0" w14:ky="0" w14:algn="ctr">
          <w14:schemeClr w14:val="bg1">
            <w14:lumMod w14:val="95000"/>
          </w14:schemeClr>
        </w14:shadow>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2">
    <w:nsid w:val="07197CCB"/>
    <w:multiLevelType w:val="hybridMultilevel"/>
    <w:tmpl w:val="878EB34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nsid w:val="079171BA"/>
    <w:multiLevelType w:val="hybridMultilevel"/>
    <w:tmpl w:val="94003A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0ACC641B"/>
    <w:multiLevelType w:val="multilevel"/>
    <w:tmpl w:val="6E6820B4"/>
    <w:lvl w:ilvl="0">
      <w:start w:val="13"/>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0B95757F"/>
    <w:multiLevelType w:val="hybridMultilevel"/>
    <w:tmpl w:val="EE2E1CD8"/>
    <w:lvl w:ilvl="0" w:tplc="ECC25B30">
      <w:start w:val="4"/>
      <w:numFmt w:val="decimal"/>
      <w:lvlText w:val="%1."/>
      <w:lvlJc w:val="left"/>
      <w:pPr>
        <w:tabs>
          <w:tab w:val="num" w:pos="502"/>
        </w:tabs>
        <w:ind w:left="502" w:hanging="360"/>
      </w:pPr>
      <w:rPr>
        <w:rFonts w:hint="default"/>
        <w:b w:val="0"/>
        <w:i w:val="0"/>
        <w:color w:val="auto"/>
        <w14:shadow w14:blurRad="50800" w14:dist="50800" w14:dir="5400000" w14:sx="0" w14:sy="0" w14:kx="0" w14:ky="0" w14:algn="ctr">
          <w14:schemeClr w14:val="bg1">
            <w14:lumMod w14:val="95000"/>
          </w14:schemeClr>
        </w14:shadow>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6">
    <w:nsid w:val="0E1B5D8C"/>
    <w:multiLevelType w:val="hybridMultilevel"/>
    <w:tmpl w:val="A9580FE4"/>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7">
    <w:nsid w:val="0E212B0C"/>
    <w:multiLevelType w:val="hybridMultilevel"/>
    <w:tmpl w:val="56A6AD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0EF03CAE"/>
    <w:multiLevelType w:val="hybridMultilevel"/>
    <w:tmpl w:val="59823C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FE904F2"/>
    <w:multiLevelType w:val="hybridMultilevel"/>
    <w:tmpl w:val="AA142B02"/>
    <w:lvl w:ilvl="0" w:tplc="CF8A8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293521B"/>
    <w:multiLevelType w:val="hybridMultilevel"/>
    <w:tmpl w:val="23608AD0"/>
    <w:lvl w:ilvl="0" w:tplc="918AD572">
      <w:start w:val="1"/>
      <w:numFmt w:val="bullet"/>
      <w:lvlText w:val=""/>
      <w:lvlJc w:val="left"/>
      <w:pPr>
        <w:tabs>
          <w:tab w:val="num" w:pos="720"/>
        </w:tabs>
        <w:ind w:left="720" w:hanging="360"/>
      </w:pPr>
      <w:rPr>
        <w:rFonts w:ascii="Symbol" w:hAnsi="Symbol" w:hint="default"/>
        <w:i w:val="0"/>
      </w:rPr>
    </w:lvl>
    <w:lvl w:ilvl="1" w:tplc="F29628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339237E"/>
    <w:multiLevelType w:val="hybridMultilevel"/>
    <w:tmpl w:val="852A17E0"/>
    <w:lvl w:ilvl="0" w:tplc="35C2D996">
      <w:start w:val="4"/>
      <w:numFmt w:val="decimal"/>
      <w:lvlText w:val="%1."/>
      <w:lvlJc w:val="left"/>
      <w:pPr>
        <w:tabs>
          <w:tab w:val="num" w:pos="374"/>
        </w:tabs>
        <w:ind w:left="374" w:hanging="360"/>
      </w:pPr>
      <w:rPr>
        <w:rFonts w:hint="default"/>
        <w:b w:val="0"/>
        <w:i w:val="0"/>
        <w14:shadow w14:blurRad="50800" w14:dist="50800" w14:dir="5400000" w14:sx="0" w14:sy="0" w14:kx="0" w14:ky="0" w14:algn="ctr">
          <w14:schemeClr w14:val="bg1">
            <w14:lumMod w14:val="95000"/>
          </w14:schemeClr>
        </w14:shado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3653D61"/>
    <w:multiLevelType w:val="hybridMultilevel"/>
    <w:tmpl w:val="015208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14D13F6F"/>
    <w:multiLevelType w:val="hybridMultilevel"/>
    <w:tmpl w:val="ED7C674A"/>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4">
    <w:nsid w:val="168E677D"/>
    <w:multiLevelType w:val="multilevel"/>
    <w:tmpl w:val="EB6A08FA"/>
    <w:lvl w:ilvl="0">
      <w:numFmt w:val="decimal"/>
      <w:lvlText w:val="11.%1"/>
      <w:lvlJc w:val="left"/>
      <w:pPr>
        <w:ind w:left="360" w:hanging="360"/>
      </w:pPr>
      <w:rPr>
        <w:rFonts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6992049"/>
    <w:multiLevelType w:val="hybridMultilevel"/>
    <w:tmpl w:val="936AB124"/>
    <w:lvl w:ilvl="0" w:tplc="ABDCA9CA">
      <w:start w:val="10"/>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7596FF9"/>
    <w:multiLevelType w:val="hybridMultilevel"/>
    <w:tmpl w:val="0A26CE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18F34F24"/>
    <w:multiLevelType w:val="hybridMultilevel"/>
    <w:tmpl w:val="BB10C482"/>
    <w:lvl w:ilvl="0" w:tplc="12C2068C">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nsid w:val="18FD4D30"/>
    <w:multiLevelType w:val="hybridMultilevel"/>
    <w:tmpl w:val="B0706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19DD6ED1"/>
    <w:multiLevelType w:val="hybridMultilevel"/>
    <w:tmpl w:val="06FC71A8"/>
    <w:lvl w:ilvl="0" w:tplc="50E4D1A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B665FB5"/>
    <w:multiLevelType w:val="hybridMultilevel"/>
    <w:tmpl w:val="EB12C9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1BA410D5"/>
    <w:multiLevelType w:val="hybridMultilevel"/>
    <w:tmpl w:val="B5EEF03C"/>
    <w:lvl w:ilvl="0" w:tplc="CA780994">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1D20001C"/>
    <w:multiLevelType w:val="hybridMultilevel"/>
    <w:tmpl w:val="34E0D1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E5E3390"/>
    <w:multiLevelType w:val="hybridMultilevel"/>
    <w:tmpl w:val="9DB6D34A"/>
    <w:lvl w:ilvl="0" w:tplc="47308874">
      <w:start w:val="12"/>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nsid w:val="1F874280"/>
    <w:multiLevelType w:val="hybridMultilevel"/>
    <w:tmpl w:val="E01659D2"/>
    <w:lvl w:ilvl="0" w:tplc="D5443308">
      <w:start w:val="1"/>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0D954C9"/>
    <w:multiLevelType w:val="hybridMultilevel"/>
    <w:tmpl w:val="25822DF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6">
    <w:nsid w:val="212136A4"/>
    <w:multiLevelType w:val="hybridMultilevel"/>
    <w:tmpl w:val="673835B2"/>
    <w:lvl w:ilvl="0" w:tplc="006A2CDC">
      <w:start w:val="17"/>
      <w:numFmt w:val="decimal"/>
      <w:lvlText w:val="%1."/>
      <w:lvlJc w:val="left"/>
      <w:pPr>
        <w:ind w:left="502" w:hanging="360"/>
      </w:pPr>
      <w:rPr>
        <w:rFonts w:hint="default"/>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14E57B9"/>
    <w:multiLevelType w:val="hybridMultilevel"/>
    <w:tmpl w:val="5A3E5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215912ED"/>
    <w:multiLevelType w:val="hybridMultilevel"/>
    <w:tmpl w:val="8BCE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1737982"/>
    <w:multiLevelType w:val="hybridMultilevel"/>
    <w:tmpl w:val="92AEBC64"/>
    <w:lvl w:ilvl="0" w:tplc="D5443308">
      <w:start w:val="1"/>
      <w:numFmt w:val="decimal"/>
      <w:lvlText w:val="%1.0"/>
      <w:lvlJc w:val="left"/>
      <w:pPr>
        <w:ind w:left="1094" w:hanging="360"/>
      </w:pPr>
      <w:rPr>
        <w:rFonts w:hint="default"/>
        <w:color w:val="auto"/>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40">
    <w:nsid w:val="21D174AE"/>
    <w:multiLevelType w:val="hybridMultilevel"/>
    <w:tmpl w:val="20409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21D46865"/>
    <w:multiLevelType w:val="hybridMultilevel"/>
    <w:tmpl w:val="1AB26D10"/>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nsid w:val="24256971"/>
    <w:multiLevelType w:val="hybridMultilevel"/>
    <w:tmpl w:val="D5B8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24A62164"/>
    <w:multiLevelType w:val="hybridMultilevel"/>
    <w:tmpl w:val="7E82D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278A2155"/>
    <w:multiLevelType w:val="hybridMultilevel"/>
    <w:tmpl w:val="F66C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7AF2E96"/>
    <w:multiLevelType w:val="hybridMultilevel"/>
    <w:tmpl w:val="E352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7E70F11"/>
    <w:multiLevelType w:val="hybridMultilevel"/>
    <w:tmpl w:val="868661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7">
    <w:nsid w:val="27EA00F3"/>
    <w:multiLevelType w:val="hybridMultilevel"/>
    <w:tmpl w:val="EF0E6CCA"/>
    <w:lvl w:ilvl="0" w:tplc="1DB4EF3A">
      <w:start w:val="4"/>
      <w:numFmt w:val="decimal"/>
      <w:lvlText w:val="%1."/>
      <w:lvlJc w:val="left"/>
      <w:pPr>
        <w:tabs>
          <w:tab w:val="num" w:pos="502"/>
        </w:tabs>
        <w:ind w:left="502" w:hanging="360"/>
      </w:pPr>
      <w:rPr>
        <w:rFonts w:hint="default"/>
        <w:b w:val="0"/>
        <w:i w:val="0"/>
        <w:color w:val="auto"/>
        <w14:shadow w14:blurRad="50800" w14:dist="50800" w14:dir="5400000" w14:sx="0" w14:sy="0" w14:kx="0" w14:ky="0" w14:algn="ctr">
          <w14:schemeClr w14:val="bg1">
            <w14:lumMod w14:val="95000"/>
          </w14:schemeClr>
        </w14:shadow>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48">
    <w:nsid w:val="286B4228"/>
    <w:multiLevelType w:val="multilevel"/>
    <w:tmpl w:val="36E0BEA2"/>
    <w:lvl w:ilvl="0">
      <w:start w:val="4"/>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28AB6573"/>
    <w:multiLevelType w:val="hybridMultilevel"/>
    <w:tmpl w:val="107837E8"/>
    <w:lvl w:ilvl="0" w:tplc="E5DA7E06">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28BB4DDE"/>
    <w:multiLevelType w:val="hybridMultilevel"/>
    <w:tmpl w:val="0BAC471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1">
    <w:nsid w:val="298A3D90"/>
    <w:multiLevelType w:val="hybridMultilevel"/>
    <w:tmpl w:val="797860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2">
    <w:nsid w:val="29A27558"/>
    <w:multiLevelType w:val="hybridMultilevel"/>
    <w:tmpl w:val="E09A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A094A58"/>
    <w:multiLevelType w:val="multilevel"/>
    <w:tmpl w:val="E22A0906"/>
    <w:lvl w:ilvl="0">
      <w:numFmt w:val="decimal"/>
      <w:lvlText w:val="9.%1"/>
      <w:lvlJc w:val="left"/>
      <w:pPr>
        <w:ind w:left="360" w:hanging="360"/>
      </w:pPr>
      <w:rPr>
        <w:rFonts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2AF122BF"/>
    <w:multiLevelType w:val="multilevel"/>
    <w:tmpl w:val="3CDE9028"/>
    <w:lvl w:ilvl="0">
      <w:numFmt w:val="decimal"/>
      <w:lvlText w:val="12.%1"/>
      <w:lvlJc w:val="left"/>
      <w:pPr>
        <w:ind w:left="360" w:hanging="360"/>
      </w:pPr>
      <w:rPr>
        <w:rFonts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2B656A8D"/>
    <w:multiLevelType w:val="hybridMultilevel"/>
    <w:tmpl w:val="CE0A12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6">
    <w:nsid w:val="2BE4738E"/>
    <w:multiLevelType w:val="hybridMultilevel"/>
    <w:tmpl w:val="DEC0E7B8"/>
    <w:lvl w:ilvl="0" w:tplc="CF8A8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BF50D20"/>
    <w:multiLevelType w:val="multilevel"/>
    <w:tmpl w:val="63B8F79C"/>
    <w:lvl w:ilvl="0">
      <w:start w:val="1"/>
      <w:numFmt w:val="none"/>
      <w:lvlText w:val="2.2"/>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2BF758E0"/>
    <w:multiLevelType w:val="hybridMultilevel"/>
    <w:tmpl w:val="B0567E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nsid w:val="2C3119E1"/>
    <w:multiLevelType w:val="hybridMultilevel"/>
    <w:tmpl w:val="E5D2504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60">
    <w:nsid w:val="2CC943DE"/>
    <w:multiLevelType w:val="hybridMultilevel"/>
    <w:tmpl w:val="95EE368A"/>
    <w:lvl w:ilvl="0" w:tplc="024C8B12">
      <w:start w:val="2"/>
      <w:numFmt w:val="decimal"/>
      <w:lvlText w:val="%1."/>
      <w:lvlJc w:val="left"/>
      <w:pPr>
        <w:tabs>
          <w:tab w:val="num" w:pos="374"/>
        </w:tabs>
        <w:ind w:left="374" w:hanging="360"/>
      </w:pPr>
      <w:rPr>
        <w:rFonts w:hint="default"/>
      </w:rPr>
    </w:lvl>
    <w:lvl w:ilvl="1" w:tplc="6218A310">
      <w:start w:val="13"/>
      <w:numFmt w:val="decimal"/>
      <w:lvlText w:val="%2"/>
      <w:lvlJc w:val="left"/>
      <w:pPr>
        <w:tabs>
          <w:tab w:val="num" w:pos="1094"/>
        </w:tabs>
        <w:ind w:left="1094" w:hanging="360"/>
      </w:pPr>
      <w:rPr>
        <w:rFonts w:hint="default"/>
      </w:r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61">
    <w:nsid w:val="2DB528A8"/>
    <w:multiLevelType w:val="hybridMultilevel"/>
    <w:tmpl w:val="880EF6BE"/>
    <w:lvl w:ilvl="0" w:tplc="12C2068C">
      <w:start w:val="12"/>
      <w:numFmt w:val="decimal"/>
      <w:lvlText w:val="%1."/>
      <w:lvlJc w:val="left"/>
      <w:pPr>
        <w:ind w:left="1070" w:hanging="360"/>
      </w:pPr>
      <w:rPr>
        <w:rFonts w:hint="default"/>
        <w:b w:val="0"/>
        <w:i w:val="0"/>
        <w:color w:val="auto"/>
        <w:u w:val="none"/>
      </w:rPr>
    </w:lvl>
    <w:lvl w:ilvl="1" w:tplc="08090001">
      <w:start w:val="1"/>
      <w:numFmt w:val="bullet"/>
      <w:lvlText w:val=""/>
      <w:lvlJc w:val="left"/>
      <w:pPr>
        <w:ind w:left="1506" w:hanging="360"/>
      </w:pPr>
      <w:rPr>
        <w:rFonts w:ascii="Symbol" w:hAnsi="Symbol"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2">
    <w:nsid w:val="2DFB2639"/>
    <w:multiLevelType w:val="hybridMultilevel"/>
    <w:tmpl w:val="406A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E4C492C"/>
    <w:multiLevelType w:val="hybridMultilevel"/>
    <w:tmpl w:val="D206C2F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4">
    <w:nsid w:val="2EFC33D1"/>
    <w:multiLevelType w:val="hybridMultilevel"/>
    <w:tmpl w:val="1A2EA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nsid w:val="2F6D359A"/>
    <w:multiLevelType w:val="hybridMultilevel"/>
    <w:tmpl w:val="3298557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6">
    <w:nsid w:val="2FCD76BB"/>
    <w:multiLevelType w:val="hybridMultilevel"/>
    <w:tmpl w:val="7A42A878"/>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67">
    <w:nsid w:val="30CF2BF8"/>
    <w:multiLevelType w:val="hybridMultilevel"/>
    <w:tmpl w:val="15221574"/>
    <w:lvl w:ilvl="0" w:tplc="5762DC42">
      <w:start w:val="12"/>
      <w:numFmt w:val="decimal"/>
      <w:lvlText w:val="%1."/>
      <w:lvlJc w:val="left"/>
      <w:pPr>
        <w:ind w:left="502" w:hanging="360"/>
      </w:pPr>
      <w:rPr>
        <w:rFonts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8">
    <w:nsid w:val="32035AA1"/>
    <w:multiLevelType w:val="hybridMultilevel"/>
    <w:tmpl w:val="15221574"/>
    <w:lvl w:ilvl="0" w:tplc="5762DC42">
      <w:start w:val="12"/>
      <w:numFmt w:val="decimal"/>
      <w:lvlText w:val="%1."/>
      <w:lvlJc w:val="left"/>
      <w:pPr>
        <w:ind w:left="502" w:hanging="360"/>
      </w:pPr>
      <w:rPr>
        <w:rFonts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9">
    <w:nsid w:val="32355375"/>
    <w:multiLevelType w:val="hybridMultilevel"/>
    <w:tmpl w:val="F7E49B7A"/>
    <w:lvl w:ilvl="0" w:tplc="83085B50">
      <w:start w:val="10"/>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27C085C"/>
    <w:multiLevelType w:val="hybridMultilevel"/>
    <w:tmpl w:val="7C66D0AC"/>
    <w:lvl w:ilvl="0" w:tplc="E5DA7E06">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nsid w:val="33D82630"/>
    <w:multiLevelType w:val="hybridMultilevel"/>
    <w:tmpl w:val="4EC8E5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2">
    <w:nsid w:val="357D31E5"/>
    <w:multiLevelType w:val="multilevel"/>
    <w:tmpl w:val="47F6290E"/>
    <w:numStyleLink w:val="Style2"/>
  </w:abstractNum>
  <w:abstractNum w:abstractNumId="73">
    <w:nsid w:val="35B52ADE"/>
    <w:multiLevelType w:val="hybridMultilevel"/>
    <w:tmpl w:val="804A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6342879"/>
    <w:multiLevelType w:val="multilevel"/>
    <w:tmpl w:val="47F6290E"/>
    <w:lvl w:ilvl="0">
      <w:start w:val="1"/>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37266F7D"/>
    <w:multiLevelType w:val="hybridMultilevel"/>
    <w:tmpl w:val="98127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37865C6F"/>
    <w:multiLevelType w:val="hybridMultilevel"/>
    <w:tmpl w:val="EDA45B68"/>
    <w:lvl w:ilvl="0" w:tplc="2C38D10A">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38556009"/>
    <w:multiLevelType w:val="hybridMultilevel"/>
    <w:tmpl w:val="180E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A866BDE"/>
    <w:multiLevelType w:val="multilevel"/>
    <w:tmpl w:val="CA0E03F2"/>
    <w:lvl w:ilvl="0">
      <w:numFmt w:val="decimal"/>
      <w:lvlText w:val="10.%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3B0F7A83"/>
    <w:multiLevelType w:val="multilevel"/>
    <w:tmpl w:val="434069BA"/>
    <w:lvl w:ilvl="0">
      <w:start w:val="1"/>
      <w:numFmt w:val="decimal"/>
      <w:lvlText w:val="5.%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3BC6611C"/>
    <w:multiLevelType w:val="hybridMultilevel"/>
    <w:tmpl w:val="6EA2A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1">
    <w:nsid w:val="3CD201FB"/>
    <w:multiLevelType w:val="hybridMultilevel"/>
    <w:tmpl w:val="69F8A666"/>
    <w:lvl w:ilvl="0" w:tplc="CF8A8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D326210"/>
    <w:multiLevelType w:val="multilevel"/>
    <w:tmpl w:val="C126632C"/>
    <w:lvl w:ilvl="0">
      <w:numFmt w:val="decimal"/>
      <w:lvlText w:val="3.%1"/>
      <w:lvlJc w:val="left"/>
      <w:pPr>
        <w:ind w:left="502"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3D5700F5"/>
    <w:multiLevelType w:val="hybridMultilevel"/>
    <w:tmpl w:val="536849F6"/>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84">
    <w:nsid w:val="3DD83FD8"/>
    <w:multiLevelType w:val="hybridMultilevel"/>
    <w:tmpl w:val="E50489FE"/>
    <w:lvl w:ilvl="0" w:tplc="62A605B6">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4259134D"/>
    <w:multiLevelType w:val="hybridMultilevel"/>
    <w:tmpl w:val="36F0EF7A"/>
    <w:lvl w:ilvl="0" w:tplc="918AD572">
      <w:start w:val="1"/>
      <w:numFmt w:val="bullet"/>
      <w:lvlText w:val=""/>
      <w:lvlJc w:val="left"/>
      <w:pPr>
        <w:tabs>
          <w:tab w:val="num" w:pos="1440"/>
        </w:tabs>
        <w:ind w:left="1440" w:hanging="360"/>
      </w:pPr>
      <w:rPr>
        <w:rFonts w:ascii="Symbol" w:hAnsi="Symbol" w:hint="default"/>
        <w:b w:val="0"/>
        <w:i w:val="0"/>
      </w:rPr>
    </w:lvl>
    <w:lvl w:ilvl="1" w:tplc="F2962836">
      <w:start w:val="1"/>
      <w:numFmt w:val="lowerLetter"/>
      <w:lvlText w:val="%2."/>
      <w:lvlJc w:val="left"/>
      <w:pPr>
        <w:tabs>
          <w:tab w:val="num" w:pos="2146"/>
        </w:tabs>
        <w:ind w:left="2146" w:hanging="360"/>
      </w:pPr>
      <w:rPr>
        <w:rFonts w:hint="default"/>
      </w:rPr>
    </w:lvl>
    <w:lvl w:ilvl="2" w:tplc="0409001B">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86">
    <w:nsid w:val="43590225"/>
    <w:multiLevelType w:val="hybridMultilevel"/>
    <w:tmpl w:val="4ED0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4C15AF8"/>
    <w:multiLevelType w:val="hybridMultilevel"/>
    <w:tmpl w:val="3690AFFE"/>
    <w:lvl w:ilvl="0" w:tplc="76A88B1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467C3902"/>
    <w:multiLevelType w:val="multilevel"/>
    <w:tmpl w:val="62086850"/>
    <w:lvl w:ilvl="0">
      <w:start w:val="11"/>
      <w:numFmt w:val="decimal"/>
      <w:lvlText w:val="%1.0"/>
      <w:lvlJc w:val="left"/>
      <w:pPr>
        <w:ind w:left="468" w:hanging="468"/>
      </w:pPr>
      <w:rPr>
        <w:rFonts w:cs="Times New Roman" w:hint="default"/>
        <w:b/>
      </w:rPr>
    </w:lvl>
    <w:lvl w:ilvl="1">
      <w:start w:val="1"/>
      <w:numFmt w:val="decimal"/>
      <w:lvlText w:val="%1.%2"/>
      <w:lvlJc w:val="left"/>
      <w:pPr>
        <w:ind w:left="1188" w:hanging="468"/>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89">
    <w:nsid w:val="486F1820"/>
    <w:multiLevelType w:val="hybridMultilevel"/>
    <w:tmpl w:val="95F08DDE"/>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90">
    <w:nsid w:val="49FE5850"/>
    <w:multiLevelType w:val="hybridMultilevel"/>
    <w:tmpl w:val="A994036E"/>
    <w:lvl w:ilvl="0" w:tplc="E5DA7E06">
      <w:start w:val="1"/>
      <w:numFmt w:val="bullet"/>
      <w:lvlText w:val=""/>
      <w:lvlJc w:val="left"/>
      <w:pPr>
        <w:ind w:left="1094" w:hanging="360"/>
      </w:pPr>
      <w:rPr>
        <w:rFonts w:ascii="Symbol" w:hAnsi="Symbol" w:hint="default"/>
        <w:color w:val="000000" w:themeColor="text1"/>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91">
    <w:nsid w:val="4A4B5D83"/>
    <w:multiLevelType w:val="hybridMultilevel"/>
    <w:tmpl w:val="71729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2">
    <w:nsid w:val="4A4C037F"/>
    <w:multiLevelType w:val="hybridMultilevel"/>
    <w:tmpl w:val="8C1E062E"/>
    <w:lvl w:ilvl="0" w:tplc="E4F2C87A">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4BAF3A1F"/>
    <w:multiLevelType w:val="hybridMultilevel"/>
    <w:tmpl w:val="E0C221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4">
    <w:nsid w:val="4D8C431B"/>
    <w:multiLevelType w:val="hybridMultilevel"/>
    <w:tmpl w:val="58A8A996"/>
    <w:lvl w:ilvl="0" w:tplc="2C38D10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4E096397"/>
    <w:multiLevelType w:val="hybridMultilevel"/>
    <w:tmpl w:val="B9A226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6">
    <w:nsid w:val="4F0E16BD"/>
    <w:multiLevelType w:val="hybridMultilevel"/>
    <w:tmpl w:val="2ED0272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F622358"/>
    <w:multiLevelType w:val="multilevel"/>
    <w:tmpl w:val="2B6C1588"/>
    <w:lvl w:ilvl="0">
      <w:numFmt w:val="decimal"/>
      <w:lvlText w:val="10.%1"/>
      <w:lvlJc w:val="left"/>
      <w:pPr>
        <w:ind w:left="928"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50842635"/>
    <w:multiLevelType w:val="hybridMultilevel"/>
    <w:tmpl w:val="5C9E7AB4"/>
    <w:lvl w:ilvl="0" w:tplc="F9386E86">
      <w:numFmt w:val="decimal"/>
      <w:lvlText w:val="2.3%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51031E3B"/>
    <w:multiLevelType w:val="hybridMultilevel"/>
    <w:tmpl w:val="E392F65C"/>
    <w:lvl w:ilvl="0" w:tplc="AE28B822">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13E7DD3"/>
    <w:multiLevelType w:val="singleLevel"/>
    <w:tmpl w:val="46D6CBD2"/>
    <w:lvl w:ilvl="0">
      <w:start w:val="1"/>
      <w:numFmt w:val="bullet"/>
      <w:pStyle w:val="bullet4"/>
      <w:lvlText w:val=""/>
      <w:lvlJc w:val="left"/>
      <w:pPr>
        <w:tabs>
          <w:tab w:val="num" w:pos="360"/>
        </w:tabs>
        <w:ind w:left="340" w:hanging="340"/>
      </w:pPr>
      <w:rPr>
        <w:rFonts w:ascii="Wingdings" w:hAnsi="Wingdings" w:hint="default"/>
      </w:rPr>
    </w:lvl>
  </w:abstractNum>
  <w:abstractNum w:abstractNumId="101">
    <w:nsid w:val="529B3C00"/>
    <w:multiLevelType w:val="hybridMultilevel"/>
    <w:tmpl w:val="0552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529E35D1"/>
    <w:multiLevelType w:val="hybridMultilevel"/>
    <w:tmpl w:val="910E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31937DB"/>
    <w:multiLevelType w:val="multilevel"/>
    <w:tmpl w:val="344800B8"/>
    <w:lvl w:ilvl="0">
      <w:start w:val="12"/>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4">
    <w:nsid w:val="54352BCE"/>
    <w:multiLevelType w:val="hybridMultilevel"/>
    <w:tmpl w:val="D688AD34"/>
    <w:lvl w:ilvl="0" w:tplc="E5DA7E06">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nsid w:val="54FE5210"/>
    <w:multiLevelType w:val="hybridMultilevel"/>
    <w:tmpl w:val="E2661E62"/>
    <w:lvl w:ilvl="0" w:tplc="D5443308">
      <w:start w:val="1"/>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55AD1129"/>
    <w:multiLevelType w:val="hybridMultilevel"/>
    <w:tmpl w:val="45288C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57133C9F"/>
    <w:multiLevelType w:val="multilevel"/>
    <w:tmpl w:val="DD6E847C"/>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8">
    <w:nsid w:val="574C5856"/>
    <w:multiLevelType w:val="multilevel"/>
    <w:tmpl w:val="F5FC810E"/>
    <w:lvl w:ilvl="0">
      <w:numFmt w:val="decimal"/>
      <w:lvlText w:val="1.%1"/>
      <w:lvlJc w:val="center"/>
      <w:pPr>
        <w:ind w:left="928" w:hanging="360"/>
      </w:pPr>
      <w:rPr>
        <w:rFonts w:hint="default"/>
        <w:b w:val="0"/>
        <w:i w:val="0"/>
        <w:color w:val="auto"/>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09">
    <w:nsid w:val="5901377F"/>
    <w:multiLevelType w:val="hybridMultilevel"/>
    <w:tmpl w:val="690A0742"/>
    <w:lvl w:ilvl="0" w:tplc="08090001">
      <w:start w:val="1"/>
      <w:numFmt w:val="bullet"/>
      <w:lvlText w:val=""/>
      <w:lvlJc w:val="left"/>
      <w:pPr>
        <w:ind w:left="720" w:hanging="360"/>
      </w:pPr>
      <w:rPr>
        <w:rFonts w:ascii="Symbol" w:hAnsi="Symbol" w:hint="default"/>
      </w:rPr>
    </w:lvl>
    <w:lvl w:ilvl="1" w:tplc="E5DA7E06">
      <w:start w:val="1"/>
      <w:numFmt w:val="bullet"/>
      <w:lvlText w:val=""/>
      <w:lvlJc w:val="left"/>
      <w:pPr>
        <w:ind w:left="1440" w:hanging="360"/>
      </w:pPr>
      <w:rPr>
        <w:rFonts w:ascii="Symbol" w:hAnsi="Symbo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C352F56"/>
    <w:multiLevelType w:val="hybridMultilevel"/>
    <w:tmpl w:val="D052765C"/>
    <w:lvl w:ilvl="0" w:tplc="63C261B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5C7531E8"/>
    <w:multiLevelType w:val="hybridMultilevel"/>
    <w:tmpl w:val="157C8F16"/>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12">
    <w:nsid w:val="5D490F7E"/>
    <w:multiLevelType w:val="hybridMultilevel"/>
    <w:tmpl w:val="E3586AE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5E6A5D32"/>
    <w:multiLevelType w:val="multilevel"/>
    <w:tmpl w:val="8B2EF580"/>
    <w:lvl w:ilvl="0">
      <w:numFmt w:val="decimal"/>
      <w:lvlText w:val="8.%1"/>
      <w:lvlJc w:val="left"/>
      <w:pPr>
        <w:ind w:left="360" w:hanging="360"/>
      </w:pPr>
      <w:rPr>
        <w:rFonts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61000C7E"/>
    <w:multiLevelType w:val="hybridMultilevel"/>
    <w:tmpl w:val="A3825BB6"/>
    <w:lvl w:ilvl="0" w:tplc="E5DA7E06">
      <w:start w:val="1"/>
      <w:numFmt w:val="bullet"/>
      <w:lvlText w:val=""/>
      <w:lvlJc w:val="left"/>
      <w:pPr>
        <w:ind w:left="2160" w:hanging="360"/>
      </w:pPr>
      <w:rPr>
        <w:rFonts w:ascii="Symbol" w:hAnsi="Symbol" w:hint="default"/>
        <w:color w:val="000000" w:themeColor="text1"/>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5">
    <w:nsid w:val="616F1889"/>
    <w:multiLevelType w:val="multilevel"/>
    <w:tmpl w:val="BA3056FA"/>
    <w:lvl w:ilvl="0">
      <w:start w:val="1"/>
      <w:numFmt w:val="decimal"/>
      <w:lvlText w:val="%1."/>
      <w:lvlJc w:val="left"/>
      <w:pPr>
        <w:tabs>
          <w:tab w:val="num" w:pos="1080"/>
        </w:tabs>
        <w:ind w:left="1080" w:hanging="360"/>
      </w:pPr>
      <w:rPr>
        <w:color w:val="auto"/>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6">
    <w:nsid w:val="623C592F"/>
    <w:multiLevelType w:val="hybridMultilevel"/>
    <w:tmpl w:val="5DCA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7">
    <w:nsid w:val="632C544C"/>
    <w:multiLevelType w:val="multilevel"/>
    <w:tmpl w:val="47F6290E"/>
    <w:styleLink w:val="Style2"/>
    <w:lvl w:ilvl="0">
      <w:start w:val="1"/>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666D33DB"/>
    <w:multiLevelType w:val="hybridMultilevel"/>
    <w:tmpl w:val="3BAEFFB2"/>
    <w:lvl w:ilvl="0" w:tplc="08090001">
      <w:start w:val="1"/>
      <w:numFmt w:val="bullet"/>
      <w:lvlText w:val=""/>
      <w:lvlJc w:val="left"/>
      <w:pPr>
        <w:ind w:left="1814" w:hanging="360"/>
      </w:pPr>
      <w:rPr>
        <w:rFonts w:ascii="Symbol" w:hAnsi="Symbol" w:hint="default"/>
      </w:rPr>
    </w:lvl>
    <w:lvl w:ilvl="1" w:tplc="08090003" w:tentative="1">
      <w:start w:val="1"/>
      <w:numFmt w:val="bullet"/>
      <w:lvlText w:val="o"/>
      <w:lvlJc w:val="left"/>
      <w:pPr>
        <w:ind w:left="2534" w:hanging="360"/>
      </w:pPr>
      <w:rPr>
        <w:rFonts w:ascii="Courier New" w:hAnsi="Courier New" w:cs="Courier New" w:hint="default"/>
      </w:rPr>
    </w:lvl>
    <w:lvl w:ilvl="2" w:tplc="08090005" w:tentative="1">
      <w:start w:val="1"/>
      <w:numFmt w:val="bullet"/>
      <w:lvlText w:val=""/>
      <w:lvlJc w:val="left"/>
      <w:pPr>
        <w:ind w:left="3254" w:hanging="360"/>
      </w:pPr>
      <w:rPr>
        <w:rFonts w:ascii="Wingdings" w:hAnsi="Wingdings" w:hint="default"/>
      </w:rPr>
    </w:lvl>
    <w:lvl w:ilvl="3" w:tplc="08090001" w:tentative="1">
      <w:start w:val="1"/>
      <w:numFmt w:val="bullet"/>
      <w:lvlText w:val=""/>
      <w:lvlJc w:val="left"/>
      <w:pPr>
        <w:ind w:left="3974" w:hanging="360"/>
      </w:pPr>
      <w:rPr>
        <w:rFonts w:ascii="Symbol" w:hAnsi="Symbol" w:hint="default"/>
      </w:rPr>
    </w:lvl>
    <w:lvl w:ilvl="4" w:tplc="08090003" w:tentative="1">
      <w:start w:val="1"/>
      <w:numFmt w:val="bullet"/>
      <w:lvlText w:val="o"/>
      <w:lvlJc w:val="left"/>
      <w:pPr>
        <w:ind w:left="4694" w:hanging="360"/>
      </w:pPr>
      <w:rPr>
        <w:rFonts w:ascii="Courier New" w:hAnsi="Courier New" w:cs="Courier New" w:hint="default"/>
      </w:rPr>
    </w:lvl>
    <w:lvl w:ilvl="5" w:tplc="08090005" w:tentative="1">
      <w:start w:val="1"/>
      <w:numFmt w:val="bullet"/>
      <w:lvlText w:val=""/>
      <w:lvlJc w:val="left"/>
      <w:pPr>
        <w:ind w:left="5414" w:hanging="360"/>
      </w:pPr>
      <w:rPr>
        <w:rFonts w:ascii="Wingdings" w:hAnsi="Wingdings" w:hint="default"/>
      </w:rPr>
    </w:lvl>
    <w:lvl w:ilvl="6" w:tplc="08090001" w:tentative="1">
      <w:start w:val="1"/>
      <w:numFmt w:val="bullet"/>
      <w:lvlText w:val=""/>
      <w:lvlJc w:val="left"/>
      <w:pPr>
        <w:ind w:left="6134" w:hanging="360"/>
      </w:pPr>
      <w:rPr>
        <w:rFonts w:ascii="Symbol" w:hAnsi="Symbol" w:hint="default"/>
      </w:rPr>
    </w:lvl>
    <w:lvl w:ilvl="7" w:tplc="08090003" w:tentative="1">
      <w:start w:val="1"/>
      <w:numFmt w:val="bullet"/>
      <w:lvlText w:val="o"/>
      <w:lvlJc w:val="left"/>
      <w:pPr>
        <w:ind w:left="6854" w:hanging="360"/>
      </w:pPr>
      <w:rPr>
        <w:rFonts w:ascii="Courier New" w:hAnsi="Courier New" w:cs="Courier New" w:hint="default"/>
      </w:rPr>
    </w:lvl>
    <w:lvl w:ilvl="8" w:tplc="08090005" w:tentative="1">
      <w:start w:val="1"/>
      <w:numFmt w:val="bullet"/>
      <w:lvlText w:val=""/>
      <w:lvlJc w:val="left"/>
      <w:pPr>
        <w:ind w:left="7574" w:hanging="360"/>
      </w:pPr>
      <w:rPr>
        <w:rFonts w:ascii="Wingdings" w:hAnsi="Wingdings" w:hint="default"/>
      </w:rPr>
    </w:lvl>
  </w:abstractNum>
  <w:abstractNum w:abstractNumId="119">
    <w:nsid w:val="669E7696"/>
    <w:multiLevelType w:val="hybridMultilevel"/>
    <w:tmpl w:val="9DB6D34A"/>
    <w:lvl w:ilvl="0" w:tplc="47308874">
      <w:start w:val="12"/>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0">
    <w:nsid w:val="675D19DF"/>
    <w:multiLevelType w:val="multilevel"/>
    <w:tmpl w:val="5986C6E2"/>
    <w:lvl w:ilvl="0">
      <w:start w:val="10"/>
      <w:numFmt w:val="decimal"/>
      <w:lvlText w:val="%1.0"/>
      <w:lvlJc w:val="left"/>
      <w:pPr>
        <w:ind w:left="184" w:hanging="468"/>
      </w:pPr>
      <w:rPr>
        <w:rFonts w:hint="default"/>
      </w:rPr>
    </w:lvl>
    <w:lvl w:ilvl="1">
      <w:start w:val="1"/>
      <w:numFmt w:val="decimal"/>
      <w:lvlText w:val="%1.%2"/>
      <w:lvlJc w:val="left"/>
      <w:pPr>
        <w:ind w:left="904" w:hanging="468"/>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956" w:hanging="1080"/>
      </w:pPr>
      <w:rPr>
        <w:rFonts w:hint="default"/>
      </w:rPr>
    </w:lvl>
    <w:lvl w:ilvl="4">
      <w:start w:val="1"/>
      <w:numFmt w:val="decimal"/>
      <w:lvlText w:val="%1.%2.%3.%4.%5"/>
      <w:lvlJc w:val="left"/>
      <w:pPr>
        <w:ind w:left="3676" w:hanging="1080"/>
      </w:pPr>
      <w:rPr>
        <w:rFonts w:hint="default"/>
      </w:rPr>
    </w:lvl>
    <w:lvl w:ilvl="5">
      <w:start w:val="1"/>
      <w:numFmt w:val="decimal"/>
      <w:lvlText w:val="%1.%2.%3.%4.%5.%6"/>
      <w:lvlJc w:val="left"/>
      <w:pPr>
        <w:ind w:left="4756" w:hanging="1440"/>
      </w:pPr>
      <w:rPr>
        <w:rFonts w:hint="default"/>
      </w:rPr>
    </w:lvl>
    <w:lvl w:ilvl="6">
      <w:start w:val="1"/>
      <w:numFmt w:val="decimal"/>
      <w:lvlText w:val="%1.%2.%3.%4.%5.%6.%7"/>
      <w:lvlJc w:val="left"/>
      <w:pPr>
        <w:ind w:left="5476" w:hanging="1440"/>
      </w:pPr>
      <w:rPr>
        <w:rFonts w:hint="default"/>
      </w:rPr>
    </w:lvl>
    <w:lvl w:ilvl="7">
      <w:start w:val="1"/>
      <w:numFmt w:val="decimal"/>
      <w:lvlText w:val="%1.%2.%3.%4.%5.%6.%7.%8"/>
      <w:lvlJc w:val="left"/>
      <w:pPr>
        <w:ind w:left="6556" w:hanging="1800"/>
      </w:pPr>
      <w:rPr>
        <w:rFonts w:hint="default"/>
      </w:rPr>
    </w:lvl>
    <w:lvl w:ilvl="8">
      <w:start w:val="1"/>
      <w:numFmt w:val="decimal"/>
      <w:lvlText w:val="%1.%2.%3.%4.%5.%6.%7.%8.%9"/>
      <w:lvlJc w:val="left"/>
      <w:pPr>
        <w:ind w:left="7276" w:hanging="1800"/>
      </w:pPr>
      <w:rPr>
        <w:rFonts w:hint="default"/>
      </w:rPr>
    </w:lvl>
  </w:abstractNum>
  <w:abstractNum w:abstractNumId="121">
    <w:nsid w:val="68055AD0"/>
    <w:multiLevelType w:val="hybridMultilevel"/>
    <w:tmpl w:val="4280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CAB39ED"/>
    <w:multiLevelType w:val="hybridMultilevel"/>
    <w:tmpl w:val="BB10C482"/>
    <w:lvl w:ilvl="0" w:tplc="12C2068C">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3">
    <w:nsid w:val="6D733245"/>
    <w:multiLevelType w:val="multilevel"/>
    <w:tmpl w:val="9514A2EE"/>
    <w:lvl w:ilvl="0">
      <w:start w:val="1"/>
      <w:numFmt w:val="decimal"/>
      <w:lvlText w:val="2.5%1"/>
      <w:lvlJc w:val="center"/>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6DBD30F9"/>
    <w:multiLevelType w:val="hybridMultilevel"/>
    <w:tmpl w:val="E0501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DD252A9"/>
    <w:multiLevelType w:val="hybridMultilevel"/>
    <w:tmpl w:val="C6FC5D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6">
    <w:nsid w:val="6EA57E58"/>
    <w:multiLevelType w:val="hybridMultilevel"/>
    <w:tmpl w:val="9CD0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ED82D35"/>
    <w:multiLevelType w:val="hybridMultilevel"/>
    <w:tmpl w:val="16FCFF7E"/>
    <w:lvl w:ilvl="0" w:tplc="918AD572">
      <w:start w:val="1"/>
      <w:numFmt w:val="bullet"/>
      <w:lvlText w:val=""/>
      <w:lvlJc w:val="left"/>
      <w:pPr>
        <w:tabs>
          <w:tab w:val="num" w:pos="734"/>
        </w:tabs>
        <w:ind w:left="734" w:hanging="360"/>
      </w:pPr>
      <w:rPr>
        <w:rFonts w:ascii="Symbol" w:hAnsi="Symbol" w:hint="default"/>
        <w:b w:val="0"/>
        <w:i w:val="0"/>
      </w:rPr>
    </w:lvl>
    <w:lvl w:ilvl="1" w:tplc="F29628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716F09FF"/>
    <w:multiLevelType w:val="hybridMultilevel"/>
    <w:tmpl w:val="7C86A7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9">
    <w:nsid w:val="72574E2D"/>
    <w:multiLevelType w:val="hybridMultilevel"/>
    <w:tmpl w:val="20FEFDA0"/>
    <w:lvl w:ilvl="0" w:tplc="FFFFFFFF">
      <w:start w:val="1"/>
      <w:numFmt w:val="decimal"/>
      <w:pStyle w:val="Style1"/>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30">
    <w:nsid w:val="73096698"/>
    <w:multiLevelType w:val="hybridMultilevel"/>
    <w:tmpl w:val="9DE01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1">
    <w:nsid w:val="740A7CC1"/>
    <w:multiLevelType w:val="hybridMultilevel"/>
    <w:tmpl w:val="866C4A70"/>
    <w:lvl w:ilvl="0" w:tplc="2C38D10A">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766A0175"/>
    <w:multiLevelType w:val="multilevel"/>
    <w:tmpl w:val="1848F0A8"/>
    <w:lvl w:ilvl="0">
      <w:start w:val="10"/>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3">
    <w:nsid w:val="793662A1"/>
    <w:multiLevelType w:val="hybridMultilevel"/>
    <w:tmpl w:val="D0F24C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4">
    <w:nsid w:val="7B1473B0"/>
    <w:multiLevelType w:val="hybridMultilevel"/>
    <w:tmpl w:val="95264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B757DD4"/>
    <w:multiLevelType w:val="hybridMultilevel"/>
    <w:tmpl w:val="E8C2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7C134343"/>
    <w:multiLevelType w:val="hybridMultilevel"/>
    <w:tmpl w:val="6A9C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7D7F40B0"/>
    <w:multiLevelType w:val="hybridMultilevel"/>
    <w:tmpl w:val="CE38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7D7F5032"/>
    <w:multiLevelType w:val="hybridMultilevel"/>
    <w:tmpl w:val="206891E4"/>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39">
    <w:nsid w:val="7DCA1478"/>
    <w:multiLevelType w:val="hybridMultilevel"/>
    <w:tmpl w:val="CF92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129"/>
  </w:num>
  <w:num w:numId="3">
    <w:abstractNumId w:val="115"/>
  </w:num>
  <w:num w:numId="4">
    <w:abstractNumId w:val="20"/>
  </w:num>
  <w:num w:numId="5">
    <w:abstractNumId w:val="127"/>
  </w:num>
  <w:num w:numId="6">
    <w:abstractNumId w:val="85"/>
  </w:num>
  <w:num w:numId="7">
    <w:abstractNumId w:val="125"/>
  </w:num>
  <w:num w:numId="8">
    <w:abstractNumId w:val="60"/>
  </w:num>
  <w:num w:numId="9">
    <w:abstractNumId w:val="47"/>
  </w:num>
  <w:num w:numId="10">
    <w:abstractNumId w:val="38"/>
  </w:num>
  <w:num w:numId="11">
    <w:abstractNumId w:val="28"/>
  </w:num>
  <w:num w:numId="12">
    <w:abstractNumId w:val="101"/>
  </w:num>
  <w:num w:numId="13">
    <w:abstractNumId w:val="108"/>
  </w:num>
  <w:num w:numId="14">
    <w:abstractNumId w:val="75"/>
  </w:num>
  <w:num w:numId="15">
    <w:abstractNumId w:val="21"/>
  </w:num>
  <w:num w:numId="16">
    <w:abstractNumId w:val="11"/>
  </w:num>
  <w:num w:numId="17">
    <w:abstractNumId w:val="83"/>
  </w:num>
  <w:num w:numId="18">
    <w:abstractNumId w:val="29"/>
  </w:num>
  <w:num w:numId="19">
    <w:abstractNumId w:val="106"/>
  </w:num>
  <w:num w:numId="20">
    <w:abstractNumId w:val="134"/>
  </w:num>
  <w:num w:numId="2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5"/>
  </w:num>
  <w:num w:numId="23">
    <w:abstractNumId w:val="102"/>
  </w:num>
  <w:num w:numId="24">
    <w:abstractNumId w:val="96"/>
  </w:num>
  <w:num w:numId="25">
    <w:abstractNumId w:val="55"/>
  </w:num>
  <w:num w:numId="26">
    <w:abstractNumId w:val="56"/>
  </w:num>
  <w:num w:numId="27">
    <w:abstractNumId w:val="19"/>
  </w:num>
  <w:num w:numId="28">
    <w:abstractNumId w:val="81"/>
  </w:num>
  <w:num w:numId="29">
    <w:abstractNumId w:val="15"/>
  </w:num>
  <w:num w:numId="30">
    <w:abstractNumId w:val="50"/>
  </w:num>
  <w:num w:numId="31">
    <w:abstractNumId w:val="124"/>
  </w:num>
  <w:num w:numId="32">
    <w:abstractNumId w:val="33"/>
  </w:num>
  <w:num w:numId="33">
    <w:abstractNumId w:val="119"/>
  </w:num>
  <w:num w:numId="34">
    <w:abstractNumId w:val="27"/>
  </w:num>
  <w:num w:numId="35">
    <w:abstractNumId w:val="51"/>
  </w:num>
  <w:num w:numId="36">
    <w:abstractNumId w:val="111"/>
  </w:num>
  <w:num w:numId="37">
    <w:abstractNumId w:val="111"/>
  </w:num>
  <w:num w:numId="38">
    <w:abstractNumId w:val="77"/>
  </w:num>
  <w:num w:numId="39">
    <w:abstractNumId w:val="67"/>
  </w:num>
  <w:num w:numId="40">
    <w:abstractNumId w:val="68"/>
  </w:num>
  <w:num w:numId="41">
    <w:abstractNumId w:val="7"/>
  </w:num>
  <w:num w:numId="42">
    <w:abstractNumId w:val="5"/>
  </w:num>
  <w:num w:numId="4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3"/>
  </w:num>
  <w:num w:numId="46">
    <w:abstractNumId w:val="138"/>
  </w:num>
  <w:num w:numId="47">
    <w:abstractNumId w:val="136"/>
  </w:num>
  <w:num w:numId="48">
    <w:abstractNumId w:val="71"/>
  </w:num>
  <w:num w:numId="49">
    <w:abstractNumId w:val="112"/>
  </w:num>
  <w:num w:numId="50">
    <w:abstractNumId w:val="59"/>
  </w:num>
  <w:num w:numId="51">
    <w:abstractNumId w:val="46"/>
  </w:num>
  <w:num w:numId="52">
    <w:abstractNumId w:val="17"/>
  </w:num>
  <w:num w:numId="53">
    <w:abstractNumId w:val="80"/>
  </w:num>
  <w:num w:numId="54">
    <w:abstractNumId w:val="40"/>
  </w:num>
  <w:num w:numId="55">
    <w:abstractNumId w:val="95"/>
  </w:num>
  <w:num w:numId="56">
    <w:abstractNumId w:val="134"/>
  </w:num>
  <w:num w:numId="57">
    <w:abstractNumId w:val="126"/>
  </w:num>
  <w:num w:numId="58">
    <w:abstractNumId w:val="10"/>
  </w:num>
  <w:num w:numId="59">
    <w:abstractNumId w:val="32"/>
  </w:num>
  <w:num w:numId="60">
    <w:abstractNumId w:val="43"/>
  </w:num>
  <w:num w:numId="61">
    <w:abstractNumId w:val="45"/>
  </w:num>
  <w:num w:numId="62">
    <w:abstractNumId w:val="31"/>
  </w:num>
  <w:num w:numId="63">
    <w:abstractNumId w:val="122"/>
  </w:num>
  <w:num w:numId="64">
    <w:abstractNumId w:val="4"/>
  </w:num>
  <w:num w:numId="65">
    <w:abstractNumId w:val="109"/>
  </w:num>
  <w:num w:numId="66">
    <w:abstractNumId w:val="63"/>
  </w:num>
  <w:num w:numId="67">
    <w:abstractNumId w:val="30"/>
  </w:num>
  <w:num w:numId="68">
    <w:abstractNumId w:val="65"/>
  </w:num>
  <w:num w:numId="69">
    <w:abstractNumId w:val="6"/>
  </w:num>
  <w:num w:numId="70">
    <w:abstractNumId w:val="22"/>
  </w:num>
  <w:num w:numId="71">
    <w:abstractNumId w:val="18"/>
  </w:num>
  <w:num w:numId="72">
    <w:abstractNumId w:val="137"/>
  </w:num>
  <w:num w:numId="73">
    <w:abstractNumId w:val="61"/>
  </w:num>
  <w:num w:numId="74">
    <w:abstractNumId w:val="12"/>
  </w:num>
  <w:num w:numId="75">
    <w:abstractNumId w:val="51"/>
  </w:num>
  <w:num w:numId="76">
    <w:abstractNumId w:val="111"/>
  </w:num>
  <w:num w:numId="77">
    <w:abstractNumId w:val="110"/>
  </w:num>
  <w:num w:numId="78">
    <w:abstractNumId w:val="36"/>
  </w:num>
  <w:num w:numId="79">
    <w:abstractNumId w:val="26"/>
  </w:num>
  <w:num w:numId="80">
    <w:abstractNumId w:val="7"/>
  </w:num>
  <w:num w:numId="81">
    <w:abstractNumId w:val="52"/>
  </w:num>
  <w:num w:numId="82">
    <w:abstractNumId w:val="89"/>
  </w:num>
  <w:num w:numId="83">
    <w:abstractNumId w:val="64"/>
  </w:num>
  <w:num w:numId="84">
    <w:abstractNumId w:val="13"/>
  </w:num>
  <w:num w:numId="85">
    <w:abstractNumId w:val="128"/>
  </w:num>
  <w:num w:numId="86">
    <w:abstractNumId w:val="90"/>
  </w:num>
  <w:num w:numId="87">
    <w:abstractNumId w:val="62"/>
  </w:num>
  <w:num w:numId="88">
    <w:abstractNumId w:val="139"/>
  </w:num>
  <w:num w:numId="89">
    <w:abstractNumId w:val="98"/>
  </w:num>
  <w:num w:numId="90">
    <w:abstractNumId w:val="73"/>
  </w:num>
  <w:num w:numId="91">
    <w:abstractNumId w:val="116"/>
  </w:num>
  <w:num w:numId="92">
    <w:abstractNumId w:val="12"/>
  </w:num>
  <w:num w:numId="93">
    <w:abstractNumId w:val="42"/>
  </w:num>
  <w:num w:numId="94">
    <w:abstractNumId w:val="41"/>
  </w:num>
  <w:num w:numId="95">
    <w:abstractNumId w:val="121"/>
  </w:num>
  <w:num w:numId="96">
    <w:abstractNumId w:val="118"/>
  </w:num>
  <w:num w:numId="97">
    <w:abstractNumId w:val="16"/>
  </w:num>
  <w:num w:numId="98">
    <w:abstractNumId w:val="114"/>
  </w:num>
  <w:num w:numId="99">
    <w:abstractNumId w:val="70"/>
  </w:num>
  <w:num w:numId="100">
    <w:abstractNumId w:val="72"/>
    <w:lvlOverride w:ilvl="0">
      <w:lvl w:ilvl="0">
        <w:start w:val="1"/>
        <w:numFmt w:val="none"/>
        <w:lvlText w:val="2.3"/>
        <w:lvlJc w:val="left"/>
        <w:pPr>
          <w:ind w:left="360" w:hanging="360"/>
        </w:pPr>
        <w:rPr>
          <w:rFonts w:hint="default"/>
          <w:b w:val="0"/>
          <w:i w:val="0"/>
          <w:color w:val="auto"/>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1">
    <w:abstractNumId w:val="123"/>
  </w:num>
  <w:num w:numId="102">
    <w:abstractNumId w:val="99"/>
  </w:num>
  <w:num w:numId="103">
    <w:abstractNumId w:val="8"/>
  </w:num>
  <w:num w:numId="104">
    <w:abstractNumId w:val="57"/>
  </w:num>
  <w:num w:numId="105">
    <w:abstractNumId w:val="117"/>
  </w:num>
  <w:num w:numId="106">
    <w:abstractNumId w:val="74"/>
  </w:num>
  <w:num w:numId="107">
    <w:abstractNumId w:val="35"/>
  </w:num>
  <w:num w:numId="108">
    <w:abstractNumId w:val="37"/>
  </w:num>
  <w:num w:numId="109">
    <w:abstractNumId w:val="91"/>
  </w:num>
  <w:num w:numId="110">
    <w:abstractNumId w:val="130"/>
  </w:num>
  <w:num w:numId="111">
    <w:abstractNumId w:val="49"/>
  </w:num>
  <w:num w:numId="112">
    <w:abstractNumId w:val="23"/>
  </w:num>
  <w:num w:numId="113">
    <w:abstractNumId w:val="104"/>
  </w:num>
  <w:num w:numId="114">
    <w:abstractNumId w:val="82"/>
  </w:num>
  <w:num w:numId="115">
    <w:abstractNumId w:val="87"/>
  </w:num>
  <w:num w:numId="116">
    <w:abstractNumId w:val="92"/>
  </w:num>
  <w:num w:numId="117">
    <w:abstractNumId w:val="94"/>
  </w:num>
  <w:num w:numId="118">
    <w:abstractNumId w:val="84"/>
  </w:num>
  <w:num w:numId="119">
    <w:abstractNumId w:val="79"/>
  </w:num>
  <w:num w:numId="120">
    <w:abstractNumId w:val="76"/>
  </w:num>
  <w:num w:numId="121">
    <w:abstractNumId w:val="131"/>
  </w:num>
  <w:num w:numId="122">
    <w:abstractNumId w:val="9"/>
  </w:num>
  <w:num w:numId="123">
    <w:abstractNumId w:val="113"/>
  </w:num>
  <w:num w:numId="124">
    <w:abstractNumId w:val="53"/>
  </w:num>
  <w:num w:numId="125">
    <w:abstractNumId w:val="24"/>
  </w:num>
  <w:num w:numId="126">
    <w:abstractNumId w:val="54"/>
  </w:num>
  <w:num w:numId="127">
    <w:abstractNumId w:val="78"/>
  </w:num>
  <w:num w:numId="128">
    <w:abstractNumId w:val="48"/>
  </w:num>
  <w:num w:numId="129">
    <w:abstractNumId w:val="39"/>
  </w:num>
  <w:num w:numId="130">
    <w:abstractNumId w:val="97"/>
  </w:num>
  <w:num w:numId="131">
    <w:abstractNumId w:val="93"/>
  </w:num>
  <w:num w:numId="132">
    <w:abstractNumId w:val="58"/>
  </w:num>
  <w:num w:numId="133">
    <w:abstractNumId w:val="44"/>
  </w:num>
  <w:num w:numId="134">
    <w:abstractNumId w:val="34"/>
  </w:num>
  <w:num w:numId="135">
    <w:abstractNumId w:val="25"/>
  </w:num>
  <w:num w:numId="136">
    <w:abstractNumId w:val="105"/>
  </w:num>
  <w:num w:numId="137">
    <w:abstractNumId w:val="69"/>
  </w:num>
  <w:num w:numId="138">
    <w:abstractNumId w:val="132"/>
  </w:num>
  <w:num w:numId="139">
    <w:abstractNumId w:val="120"/>
  </w:num>
  <w:num w:numId="140">
    <w:abstractNumId w:val="66"/>
  </w:num>
  <w:num w:numId="141">
    <w:abstractNumId w:val="107"/>
  </w:num>
  <w:num w:numId="142">
    <w:abstractNumId w:val="14"/>
  </w:num>
  <w:num w:numId="143">
    <w:abstractNumId w:val="103"/>
  </w:num>
  <w:num w:numId="144">
    <w:abstractNumId w:val="88"/>
  </w:num>
  <w:num w:numId="145">
    <w:abstractNumId w:val="8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8/05/2018 13:46"/>
  </w:docVars>
  <w:rsids>
    <w:rsidRoot w:val="00526EE2"/>
    <w:rsid w:val="000008F4"/>
    <w:rsid w:val="00000FF6"/>
    <w:rsid w:val="000010B5"/>
    <w:rsid w:val="0000141B"/>
    <w:rsid w:val="00001ABA"/>
    <w:rsid w:val="000038A5"/>
    <w:rsid w:val="00004BC9"/>
    <w:rsid w:val="00006FD9"/>
    <w:rsid w:val="000112E9"/>
    <w:rsid w:val="00013073"/>
    <w:rsid w:val="000153C8"/>
    <w:rsid w:val="00017A92"/>
    <w:rsid w:val="00020F92"/>
    <w:rsid w:val="000237FC"/>
    <w:rsid w:val="00026452"/>
    <w:rsid w:val="00026D3E"/>
    <w:rsid w:val="0003024F"/>
    <w:rsid w:val="000307A3"/>
    <w:rsid w:val="00033CFC"/>
    <w:rsid w:val="000353AE"/>
    <w:rsid w:val="00042183"/>
    <w:rsid w:val="00043258"/>
    <w:rsid w:val="000445C5"/>
    <w:rsid w:val="00047583"/>
    <w:rsid w:val="00056858"/>
    <w:rsid w:val="00056861"/>
    <w:rsid w:val="00057745"/>
    <w:rsid w:val="00057C6B"/>
    <w:rsid w:val="0006114A"/>
    <w:rsid w:val="000648BE"/>
    <w:rsid w:val="00071D0A"/>
    <w:rsid w:val="000741D7"/>
    <w:rsid w:val="00074EF4"/>
    <w:rsid w:val="00077DD9"/>
    <w:rsid w:val="000808DA"/>
    <w:rsid w:val="00081074"/>
    <w:rsid w:val="0008561D"/>
    <w:rsid w:val="00090E7F"/>
    <w:rsid w:val="0009372D"/>
    <w:rsid w:val="000940C6"/>
    <w:rsid w:val="00095151"/>
    <w:rsid w:val="000A0EEB"/>
    <w:rsid w:val="000A16B9"/>
    <w:rsid w:val="000A3323"/>
    <w:rsid w:val="000A3C7F"/>
    <w:rsid w:val="000A462C"/>
    <w:rsid w:val="000A4ED8"/>
    <w:rsid w:val="000A55D4"/>
    <w:rsid w:val="000A566F"/>
    <w:rsid w:val="000A65B6"/>
    <w:rsid w:val="000A75D7"/>
    <w:rsid w:val="000A78FF"/>
    <w:rsid w:val="000A7AB7"/>
    <w:rsid w:val="000B22F1"/>
    <w:rsid w:val="000B3A3B"/>
    <w:rsid w:val="000B55EA"/>
    <w:rsid w:val="000C1D45"/>
    <w:rsid w:val="000C2294"/>
    <w:rsid w:val="000C38F2"/>
    <w:rsid w:val="000C3AEE"/>
    <w:rsid w:val="000C4436"/>
    <w:rsid w:val="000C52E1"/>
    <w:rsid w:val="000C7108"/>
    <w:rsid w:val="000D1AA2"/>
    <w:rsid w:val="000D51A7"/>
    <w:rsid w:val="000D5EBC"/>
    <w:rsid w:val="000D6F19"/>
    <w:rsid w:val="000D6F28"/>
    <w:rsid w:val="000D7D4F"/>
    <w:rsid w:val="000E035E"/>
    <w:rsid w:val="000E1341"/>
    <w:rsid w:val="000E15CC"/>
    <w:rsid w:val="000E3A65"/>
    <w:rsid w:val="000E3C24"/>
    <w:rsid w:val="000E45E8"/>
    <w:rsid w:val="000E7769"/>
    <w:rsid w:val="000F0C4F"/>
    <w:rsid w:val="000F1237"/>
    <w:rsid w:val="000F2FC9"/>
    <w:rsid w:val="000F6B16"/>
    <w:rsid w:val="00101476"/>
    <w:rsid w:val="00104B8B"/>
    <w:rsid w:val="001053F7"/>
    <w:rsid w:val="00105E91"/>
    <w:rsid w:val="00106A79"/>
    <w:rsid w:val="001111A8"/>
    <w:rsid w:val="00111319"/>
    <w:rsid w:val="001128C9"/>
    <w:rsid w:val="00112F21"/>
    <w:rsid w:val="00113B2D"/>
    <w:rsid w:val="00116D97"/>
    <w:rsid w:val="001208AC"/>
    <w:rsid w:val="00120AB1"/>
    <w:rsid w:val="0012323C"/>
    <w:rsid w:val="00123F5C"/>
    <w:rsid w:val="00125502"/>
    <w:rsid w:val="001324E8"/>
    <w:rsid w:val="00132996"/>
    <w:rsid w:val="00133859"/>
    <w:rsid w:val="001340CC"/>
    <w:rsid w:val="00135E2A"/>
    <w:rsid w:val="00136B6A"/>
    <w:rsid w:val="00142267"/>
    <w:rsid w:val="0014345B"/>
    <w:rsid w:val="00145C62"/>
    <w:rsid w:val="0014770C"/>
    <w:rsid w:val="00151AAB"/>
    <w:rsid w:val="001538E9"/>
    <w:rsid w:val="001544A7"/>
    <w:rsid w:val="00155E0A"/>
    <w:rsid w:val="00157D29"/>
    <w:rsid w:val="00164199"/>
    <w:rsid w:val="0016437B"/>
    <w:rsid w:val="0016633C"/>
    <w:rsid w:val="0017012B"/>
    <w:rsid w:val="00173E03"/>
    <w:rsid w:val="001778C8"/>
    <w:rsid w:val="00177A93"/>
    <w:rsid w:val="001822D7"/>
    <w:rsid w:val="00183637"/>
    <w:rsid w:val="0018797C"/>
    <w:rsid w:val="00190254"/>
    <w:rsid w:val="00190271"/>
    <w:rsid w:val="001916C3"/>
    <w:rsid w:val="001938C1"/>
    <w:rsid w:val="00194B89"/>
    <w:rsid w:val="001958B8"/>
    <w:rsid w:val="00195F68"/>
    <w:rsid w:val="001964C4"/>
    <w:rsid w:val="001A28B6"/>
    <w:rsid w:val="001A42D0"/>
    <w:rsid w:val="001A4A5E"/>
    <w:rsid w:val="001A5077"/>
    <w:rsid w:val="001A5993"/>
    <w:rsid w:val="001A5BE9"/>
    <w:rsid w:val="001A6C9E"/>
    <w:rsid w:val="001B0B8B"/>
    <w:rsid w:val="001B36FA"/>
    <w:rsid w:val="001B4C3D"/>
    <w:rsid w:val="001B5A84"/>
    <w:rsid w:val="001C0F13"/>
    <w:rsid w:val="001C1D1B"/>
    <w:rsid w:val="001C28BA"/>
    <w:rsid w:val="001C6370"/>
    <w:rsid w:val="001C7923"/>
    <w:rsid w:val="001D2058"/>
    <w:rsid w:val="001D29DA"/>
    <w:rsid w:val="001D316B"/>
    <w:rsid w:val="001D5FA0"/>
    <w:rsid w:val="001D70ED"/>
    <w:rsid w:val="001D79C4"/>
    <w:rsid w:val="001E0D1B"/>
    <w:rsid w:val="001E20C5"/>
    <w:rsid w:val="001E4FF5"/>
    <w:rsid w:val="001E591D"/>
    <w:rsid w:val="001E5EA0"/>
    <w:rsid w:val="001E679E"/>
    <w:rsid w:val="001E7ED9"/>
    <w:rsid w:val="001F0962"/>
    <w:rsid w:val="001F140A"/>
    <w:rsid w:val="001F4049"/>
    <w:rsid w:val="001F5AA2"/>
    <w:rsid w:val="001F5C99"/>
    <w:rsid w:val="00200FA9"/>
    <w:rsid w:val="00201204"/>
    <w:rsid w:val="0020529D"/>
    <w:rsid w:val="002057F8"/>
    <w:rsid w:val="00210C83"/>
    <w:rsid w:val="00213C55"/>
    <w:rsid w:val="00213C8B"/>
    <w:rsid w:val="00214271"/>
    <w:rsid w:val="002148A3"/>
    <w:rsid w:val="002204CD"/>
    <w:rsid w:val="00220B2B"/>
    <w:rsid w:val="00221182"/>
    <w:rsid w:val="00222B56"/>
    <w:rsid w:val="00223EBF"/>
    <w:rsid w:val="00224420"/>
    <w:rsid w:val="002266F5"/>
    <w:rsid w:val="00227BB2"/>
    <w:rsid w:val="00231797"/>
    <w:rsid w:val="002318E3"/>
    <w:rsid w:val="00235A7E"/>
    <w:rsid w:val="00240F7C"/>
    <w:rsid w:val="0024655E"/>
    <w:rsid w:val="002502CA"/>
    <w:rsid w:val="00250D22"/>
    <w:rsid w:val="00252320"/>
    <w:rsid w:val="0025407C"/>
    <w:rsid w:val="00254797"/>
    <w:rsid w:val="00254A01"/>
    <w:rsid w:val="00256AFB"/>
    <w:rsid w:val="00261BD7"/>
    <w:rsid w:val="002637EC"/>
    <w:rsid w:val="002639B2"/>
    <w:rsid w:val="00263E3B"/>
    <w:rsid w:val="0026578D"/>
    <w:rsid w:val="00265F34"/>
    <w:rsid w:val="00270E9F"/>
    <w:rsid w:val="00271D91"/>
    <w:rsid w:val="00271FF4"/>
    <w:rsid w:val="00272B3E"/>
    <w:rsid w:val="00273D3A"/>
    <w:rsid w:val="00276194"/>
    <w:rsid w:val="00276D51"/>
    <w:rsid w:val="00280E06"/>
    <w:rsid w:val="00281BE6"/>
    <w:rsid w:val="00281C8C"/>
    <w:rsid w:val="00281EA0"/>
    <w:rsid w:val="00282F92"/>
    <w:rsid w:val="00286BB6"/>
    <w:rsid w:val="002879B1"/>
    <w:rsid w:val="00290514"/>
    <w:rsid w:val="00290517"/>
    <w:rsid w:val="00293285"/>
    <w:rsid w:val="00294252"/>
    <w:rsid w:val="0029460D"/>
    <w:rsid w:val="002A0619"/>
    <w:rsid w:val="002A0969"/>
    <w:rsid w:val="002A4136"/>
    <w:rsid w:val="002A42A3"/>
    <w:rsid w:val="002A478D"/>
    <w:rsid w:val="002A50EE"/>
    <w:rsid w:val="002A5817"/>
    <w:rsid w:val="002B2BAE"/>
    <w:rsid w:val="002B6778"/>
    <w:rsid w:val="002B6E9E"/>
    <w:rsid w:val="002B7804"/>
    <w:rsid w:val="002C1506"/>
    <w:rsid w:val="002C3341"/>
    <w:rsid w:val="002D0F71"/>
    <w:rsid w:val="002D1742"/>
    <w:rsid w:val="002D1EE4"/>
    <w:rsid w:val="002D227C"/>
    <w:rsid w:val="002D48CE"/>
    <w:rsid w:val="002D5E06"/>
    <w:rsid w:val="002D713C"/>
    <w:rsid w:val="002E06B3"/>
    <w:rsid w:val="002E0C00"/>
    <w:rsid w:val="002E306F"/>
    <w:rsid w:val="002E3530"/>
    <w:rsid w:val="002E3A0E"/>
    <w:rsid w:val="002E5342"/>
    <w:rsid w:val="002E558D"/>
    <w:rsid w:val="002E5885"/>
    <w:rsid w:val="002E5F2B"/>
    <w:rsid w:val="002E65C0"/>
    <w:rsid w:val="002E6DBC"/>
    <w:rsid w:val="002E6EBA"/>
    <w:rsid w:val="002E7588"/>
    <w:rsid w:val="002F0563"/>
    <w:rsid w:val="002F1506"/>
    <w:rsid w:val="002F1743"/>
    <w:rsid w:val="002F1E24"/>
    <w:rsid w:val="002F2ECB"/>
    <w:rsid w:val="002F3277"/>
    <w:rsid w:val="002F3901"/>
    <w:rsid w:val="002F651B"/>
    <w:rsid w:val="002F66C1"/>
    <w:rsid w:val="002F6A2F"/>
    <w:rsid w:val="002F6C60"/>
    <w:rsid w:val="002F6F78"/>
    <w:rsid w:val="0030092E"/>
    <w:rsid w:val="00301B8E"/>
    <w:rsid w:val="00301DE4"/>
    <w:rsid w:val="00303496"/>
    <w:rsid w:val="003035AC"/>
    <w:rsid w:val="00310314"/>
    <w:rsid w:val="00313428"/>
    <w:rsid w:val="00313471"/>
    <w:rsid w:val="003144B6"/>
    <w:rsid w:val="00314665"/>
    <w:rsid w:val="003176E9"/>
    <w:rsid w:val="0032045E"/>
    <w:rsid w:val="003230D9"/>
    <w:rsid w:val="003247CA"/>
    <w:rsid w:val="0032542E"/>
    <w:rsid w:val="00326E02"/>
    <w:rsid w:val="00327537"/>
    <w:rsid w:val="003278D3"/>
    <w:rsid w:val="003278F9"/>
    <w:rsid w:val="00330A34"/>
    <w:rsid w:val="00331DF1"/>
    <w:rsid w:val="003351A5"/>
    <w:rsid w:val="00340C65"/>
    <w:rsid w:val="0034104A"/>
    <w:rsid w:val="00341494"/>
    <w:rsid w:val="00342FA2"/>
    <w:rsid w:val="00345BE4"/>
    <w:rsid w:val="00350680"/>
    <w:rsid w:val="00350856"/>
    <w:rsid w:val="0035171D"/>
    <w:rsid w:val="00351768"/>
    <w:rsid w:val="00352E36"/>
    <w:rsid w:val="00355109"/>
    <w:rsid w:val="0035708F"/>
    <w:rsid w:val="00357354"/>
    <w:rsid w:val="0036097D"/>
    <w:rsid w:val="003616A2"/>
    <w:rsid w:val="003630A2"/>
    <w:rsid w:val="0036387E"/>
    <w:rsid w:val="00363F33"/>
    <w:rsid w:val="003642AC"/>
    <w:rsid w:val="00364CF9"/>
    <w:rsid w:val="0036556C"/>
    <w:rsid w:val="00366BF1"/>
    <w:rsid w:val="00370117"/>
    <w:rsid w:val="003718A4"/>
    <w:rsid w:val="0037294A"/>
    <w:rsid w:val="00372A6B"/>
    <w:rsid w:val="00372DE6"/>
    <w:rsid w:val="00374CD9"/>
    <w:rsid w:val="003752D4"/>
    <w:rsid w:val="00376E10"/>
    <w:rsid w:val="0038078F"/>
    <w:rsid w:val="003812C7"/>
    <w:rsid w:val="003820F8"/>
    <w:rsid w:val="003824C4"/>
    <w:rsid w:val="00382E00"/>
    <w:rsid w:val="00383AF0"/>
    <w:rsid w:val="00384216"/>
    <w:rsid w:val="00384225"/>
    <w:rsid w:val="00384B2E"/>
    <w:rsid w:val="003851F6"/>
    <w:rsid w:val="00385C77"/>
    <w:rsid w:val="0038627D"/>
    <w:rsid w:val="003906AD"/>
    <w:rsid w:val="003912E0"/>
    <w:rsid w:val="00392365"/>
    <w:rsid w:val="003924D0"/>
    <w:rsid w:val="00392A23"/>
    <w:rsid w:val="00394079"/>
    <w:rsid w:val="00395298"/>
    <w:rsid w:val="00397DA9"/>
    <w:rsid w:val="003A0128"/>
    <w:rsid w:val="003A178A"/>
    <w:rsid w:val="003A1920"/>
    <w:rsid w:val="003A3CD5"/>
    <w:rsid w:val="003A413A"/>
    <w:rsid w:val="003A4BD3"/>
    <w:rsid w:val="003A4D3C"/>
    <w:rsid w:val="003A5F7D"/>
    <w:rsid w:val="003A64B1"/>
    <w:rsid w:val="003A64EC"/>
    <w:rsid w:val="003B0A3C"/>
    <w:rsid w:val="003B0CAB"/>
    <w:rsid w:val="003B1AE4"/>
    <w:rsid w:val="003B2464"/>
    <w:rsid w:val="003B3607"/>
    <w:rsid w:val="003B4BF1"/>
    <w:rsid w:val="003B50C7"/>
    <w:rsid w:val="003B6062"/>
    <w:rsid w:val="003B6CBF"/>
    <w:rsid w:val="003C0457"/>
    <w:rsid w:val="003C0A26"/>
    <w:rsid w:val="003C421C"/>
    <w:rsid w:val="003C49D6"/>
    <w:rsid w:val="003C4AA6"/>
    <w:rsid w:val="003C6D61"/>
    <w:rsid w:val="003D06F6"/>
    <w:rsid w:val="003D1C85"/>
    <w:rsid w:val="003D21A4"/>
    <w:rsid w:val="003D2716"/>
    <w:rsid w:val="003D307F"/>
    <w:rsid w:val="003D3EEF"/>
    <w:rsid w:val="003D524D"/>
    <w:rsid w:val="003D5FFB"/>
    <w:rsid w:val="003D76D5"/>
    <w:rsid w:val="003E02E1"/>
    <w:rsid w:val="003E291C"/>
    <w:rsid w:val="003E2F59"/>
    <w:rsid w:val="003E3685"/>
    <w:rsid w:val="003E4105"/>
    <w:rsid w:val="003E4EAD"/>
    <w:rsid w:val="003E505F"/>
    <w:rsid w:val="003E52F0"/>
    <w:rsid w:val="003E64D3"/>
    <w:rsid w:val="003E748C"/>
    <w:rsid w:val="003F03FF"/>
    <w:rsid w:val="003F0534"/>
    <w:rsid w:val="003F060A"/>
    <w:rsid w:val="003F2896"/>
    <w:rsid w:val="003F30EF"/>
    <w:rsid w:val="003F329A"/>
    <w:rsid w:val="003F5C5C"/>
    <w:rsid w:val="003F74D4"/>
    <w:rsid w:val="003F7DBD"/>
    <w:rsid w:val="00400883"/>
    <w:rsid w:val="00400E9E"/>
    <w:rsid w:val="00401629"/>
    <w:rsid w:val="004016BD"/>
    <w:rsid w:val="00401C31"/>
    <w:rsid w:val="00405842"/>
    <w:rsid w:val="0040636C"/>
    <w:rsid w:val="0040645D"/>
    <w:rsid w:val="00406AC9"/>
    <w:rsid w:val="00410CB1"/>
    <w:rsid w:val="00411DA0"/>
    <w:rsid w:val="00413229"/>
    <w:rsid w:val="00413A62"/>
    <w:rsid w:val="00414EF6"/>
    <w:rsid w:val="00415BBF"/>
    <w:rsid w:val="004160E4"/>
    <w:rsid w:val="00420B0E"/>
    <w:rsid w:val="00422244"/>
    <w:rsid w:val="0042269B"/>
    <w:rsid w:val="00424B37"/>
    <w:rsid w:val="00424D93"/>
    <w:rsid w:val="00425D53"/>
    <w:rsid w:val="0042758F"/>
    <w:rsid w:val="00427DB0"/>
    <w:rsid w:val="004309E9"/>
    <w:rsid w:val="00433311"/>
    <w:rsid w:val="00434DC7"/>
    <w:rsid w:val="00435DE3"/>
    <w:rsid w:val="00436EBA"/>
    <w:rsid w:val="00437005"/>
    <w:rsid w:val="00441C37"/>
    <w:rsid w:val="00442794"/>
    <w:rsid w:val="00445A62"/>
    <w:rsid w:val="00445AED"/>
    <w:rsid w:val="004548AE"/>
    <w:rsid w:val="00456AA0"/>
    <w:rsid w:val="00457774"/>
    <w:rsid w:val="00461B55"/>
    <w:rsid w:val="0046210A"/>
    <w:rsid w:val="00463EA0"/>
    <w:rsid w:val="00464C08"/>
    <w:rsid w:val="00464EC7"/>
    <w:rsid w:val="00465D26"/>
    <w:rsid w:val="00466562"/>
    <w:rsid w:val="0046663B"/>
    <w:rsid w:val="00466DF2"/>
    <w:rsid w:val="004672DD"/>
    <w:rsid w:val="0046757C"/>
    <w:rsid w:val="0047099C"/>
    <w:rsid w:val="00470E6E"/>
    <w:rsid w:val="004719EB"/>
    <w:rsid w:val="004721C0"/>
    <w:rsid w:val="00473768"/>
    <w:rsid w:val="0047536D"/>
    <w:rsid w:val="0048119F"/>
    <w:rsid w:val="00483233"/>
    <w:rsid w:val="0048324A"/>
    <w:rsid w:val="00484862"/>
    <w:rsid w:val="0049382D"/>
    <w:rsid w:val="00494530"/>
    <w:rsid w:val="004945BB"/>
    <w:rsid w:val="00495A70"/>
    <w:rsid w:val="00495CEF"/>
    <w:rsid w:val="0049773A"/>
    <w:rsid w:val="004A099C"/>
    <w:rsid w:val="004A3883"/>
    <w:rsid w:val="004A4912"/>
    <w:rsid w:val="004A4A51"/>
    <w:rsid w:val="004A5CB0"/>
    <w:rsid w:val="004A6C1F"/>
    <w:rsid w:val="004A7A4D"/>
    <w:rsid w:val="004B0EB2"/>
    <w:rsid w:val="004B2497"/>
    <w:rsid w:val="004B38FC"/>
    <w:rsid w:val="004B5551"/>
    <w:rsid w:val="004B5C5B"/>
    <w:rsid w:val="004B5E4F"/>
    <w:rsid w:val="004B7D8A"/>
    <w:rsid w:val="004C2A75"/>
    <w:rsid w:val="004C35F9"/>
    <w:rsid w:val="004C3A67"/>
    <w:rsid w:val="004C3FC6"/>
    <w:rsid w:val="004C4C89"/>
    <w:rsid w:val="004D1205"/>
    <w:rsid w:val="004D1AFF"/>
    <w:rsid w:val="004D630D"/>
    <w:rsid w:val="004E0E35"/>
    <w:rsid w:val="004E17F6"/>
    <w:rsid w:val="004E449B"/>
    <w:rsid w:val="004E474A"/>
    <w:rsid w:val="004E50D3"/>
    <w:rsid w:val="004E68E7"/>
    <w:rsid w:val="004E7384"/>
    <w:rsid w:val="004E78FC"/>
    <w:rsid w:val="004E7E05"/>
    <w:rsid w:val="004F03B1"/>
    <w:rsid w:val="004F1D70"/>
    <w:rsid w:val="004F1EEF"/>
    <w:rsid w:val="004F2366"/>
    <w:rsid w:val="004F2BA9"/>
    <w:rsid w:val="004F3A83"/>
    <w:rsid w:val="004F49C3"/>
    <w:rsid w:val="004F602A"/>
    <w:rsid w:val="004F6284"/>
    <w:rsid w:val="004F6CB6"/>
    <w:rsid w:val="004F6F88"/>
    <w:rsid w:val="004F7C92"/>
    <w:rsid w:val="005012FD"/>
    <w:rsid w:val="00503B8E"/>
    <w:rsid w:val="005057AF"/>
    <w:rsid w:val="00507B01"/>
    <w:rsid w:val="00510342"/>
    <w:rsid w:val="005103EA"/>
    <w:rsid w:val="005104A9"/>
    <w:rsid w:val="00511C28"/>
    <w:rsid w:val="00512055"/>
    <w:rsid w:val="00512152"/>
    <w:rsid w:val="005131D9"/>
    <w:rsid w:val="005141F8"/>
    <w:rsid w:val="005164C8"/>
    <w:rsid w:val="00521AF8"/>
    <w:rsid w:val="005243B9"/>
    <w:rsid w:val="00526EE2"/>
    <w:rsid w:val="005277E9"/>
    <w:rsid w:val="00527CCA"/>
    <w:rsid w:val="00527EF4"/>
    <w:rsid w:val="0053114A"/>
    <w:rsid w:val="005314CD"/>
    <w:rsid w:val="00533B68"/>
    <w:rsid w:val="005348DE"/>
    <w:rsid w:val="005372F9"/>
    <w:rsid w:val="00537D92"/>
    <w:rsid w:val="0054741A"/>
    <w:rsid w:val="00547D1F"/>
    <w:rsid w:val="00550E38"/>
    <w:rsid w:val="0055149E"/>
    <w:rsid w:val="005527E5"/>
    <w:rsid w:val="00554CAB"/>
    <w:rsid w:val="00555C9A"/>
    <w:rsid w:val="00556042"/>
    <w:rsid w:val="0055657D"/>
    <w:rsid w:val="00556B17"/>
    <w:rsid w:val="00557DC8"/>
    <w:rsid w:val="005661F9"/>
    <w:rsid w:val="00567503"/>
    <w:rsid w:val="00570686"/>
    <w:rsid w:val="00570E86"/>
    <w:rsid w:val="0057101C"/>
    <w:rsid w:val="0057184D"/>
    <w:rsid w:val="00573C3E"/>
    <w:rsid w:val="00574196"/>
    <w:rsid w:val="00574DAA"/>
    <w:rsid w:val="0057599D"/>
    <w:rsid w:val="00575BC4"/>
    <w:rsid w:val="00575DAB"/>
    <w:rsid w:val="005761F6"/>
    <w:rsid w:val="00577124"/>
    <w:rsid w:val="005819EB"/>
    <w:rsid w:val="005829DC"/>
    <w:rsid w:val="005846D7"/>
    <w:rsid w:val="00584CAD"/>
    <w:rsid w:val="00585568"/>
    <w:rsid w:val="00586A10"/>
    <w:rsid w:val="00590DB7"/>
    <w:rsid w:val="00590F80"/>
    <w:rsid w:val="00591139"/>
    <w:rsid w:val="0059191B"/>
    <w:rsid w:val="00591C57"/>
    <w:rsid w:val="00591F00"/>
    <w:rsid w:val="00591F96"/>
    <w:rsid w:val="00592C5A"/>
    <w:rsid w:val="00592E64"/>
    <w:rsid w:val="005943C9"/>
    <w:rsid w:val="00594B14"/>
    <w:rsid w:val="00596E6C"/>
    <w:rsid w:val="00597208"/>
    <w:rsid w:val="00597DB8"/>
    <w:rsid w:val="00597F30"/>
    <w:rsid w:val="005A11CB"/>
    <w:rsid w:val="005A206F"/>
    <w:rsid w:val="005B1952"/>
    <w:rsid w:val="005B2123"/>
    <w:rsid w:val="005B4944"/>
    <w:rsid w:val="005B5586"/>
    <w:rsid w:val="005B67AA"/>
    <w:rsid w:val="005C0FFF"/>
    <w:rsid w:val="005C14AD"/>
    <w:rsid w:val="005C27C6"/>
    <w:rsid w:val="005C2960"/>
    <w:rsid w:val="005C310F"/>
    <w:rsid w:val="005C4245"/>
    <w:rsid w:val="005C4C1A"/>
    <w:rsid w:val="005C5316"/>
    <w:rsid w:val="005C574E"/>
    <w:rsid w:val="005C7E13"/>
    <w:rsid w:val="005D0482"/>
    <w:rsid w:val="005D396D"/>
    <w:rsid w:val="005D44B6"/>
    <w:rsid w:val="005D4AE9"/>
    <w:rsid w:val="005D4BAF"/>
    <w:rsid w:val="005D4D09"/>
    <w:rsid w:val="005D5933"/>
    <w:rsid w:val="005D6BCE"/>
    <w:rsid w:val="005D75A6"/>
    <w:rsid w:val="005E0F32"/>
    <w:rsid w:val="005E14A3"/>
    <w:rsid w:val="005E1743"/>
    <w:rsid w:val="005E2179"/>
    <w:rsid w:val="005E2B35"/>
    <w:rsid w:val="005E38C6"/>
    <w:rsid w:val="005E473F"/>
    <w:rsid w:val="005E4FD3"/>
    <w:rsid w:val="005E6541"/>
    <w:rsid w:val="005E6D1B"/>
    <w:rsid w:val="005F0332"/>
    <w:rsid w:val="005F0507"/>
    <w:rsid w:val="005F064C"/>
    <w:rsid w:val="005F0C42"/>
    <w:rsid w:val="005F331F"/>
    <w:rsid w:val="005F3444"/>
    <w:rsid w:val="005F62C7"/>
    <w:rsid w:val="005F793C"/>
    <w:rsid w:val="005F7C93"/>
    <w:rsid w:val="00601DA5"/>
    <w:rsid w:val="00602157"/>
    <w:rsid w:val="0060492C"/>
    <w:rsid w:val="0060498D"/>
    <w:rsid w:val="0060598C"/>
    <w:rsid w:val="00605B23"/>
    <w:rsid w:val="00606D37"/>
    <w:rsid w:val="00607AED"/>
    <w:rsid w:val="006105DE"/>
    <w:rsid w:val="00614053"/>
    <w:rsid w:val="00615932"/>
    <w:rsid w:val="00615F24"/>
    <w:rsid w:val="006168C5"/>
    <w:rsid w:val="00617A16"/>
    <w:rsid w:val="00620444"/>
    <w:rsid w:val="00620496"/>
    <w:rsid w:val="00621467"/>
    <w:rsid w:val="006235CE"/>
    <w:rsid w:val="006236ED"/>
    <w:rsid w:val="0062749B"/>
    <w:rsid w:val="006274C3"/>
    <w:rsid w:val="00627792"/>
    <w:rsid w:val="00627C0F"/>
    <w:rsid w:val="00630716"/>
    <w:rsid w:val="0063274B"/>
    <w:rsid w:val="006336A4"/>
    <w:rsid w:val="0063402D"/>
    <w:rsid w:val="006343E8"/>
    <w:rsid w:val="00634AB5"/>
    <w:rsid w:val="00635102"/>
    <w:rsid w:val="00640F02"/>
    <w:rsid w:val="00641CE7"/>
    <w:rsid w:val="00642241"/>
    <w:rsid w:val="00643905"/>
    <w:rsid w:val="00643AC5"/>
    <w:rsid w:val="0064484E"/>
    <w:rsid w:val="00645E10"/>
    <w:rsid w:val="0064644B"/>
    <w:rsid w:val="00646C8B"/>
    <w:rsid w:val="00646DD6"/>
    <w:rsid w:val="00647BA6"/>
    <w:rsid w:val="00652D9B"/>
    <w:rsid w:val="00652E84"/>
    <w:rsid w:val="006543F8"/>
    <w:rsid w:val="00655A89"/>
    <w:rsid w:val="006571C0"/>
    <w:rsid w:val="006606B2"/>
    <w:rsid w:val="006616B6"/>
    <w:rsid w:val="006635B3"/>
    <w:rsid w:val="006643D9"/>
    <w:rsid w:val="00664F41"/>
    <w:rsid w:val="006653DB"/>
    <w:rsid w:val="00665C76"/>
    <w:rsid w:val="006752E8"/>
    <w:rsid w:val="00676AC8"/>
    <w:rsid w:val="0067708B"/>
    <w:rsid w:val="00677481"/>
    <w:rsid w:val="00681F2B"/>
    <w:rsid w:val="00685638"/>
    <w:rsid w:val="006865D8"/>
    <w:rsid w:val="00686DA6"/>
    <w:rsid w:val="00687BBB"/>
    <w:rsid w:val="00693ED1"/>
    <w:rsid w:val="006952B4"/>
    <w:rsid w:val="00696783"/>
    <w:rsid w:val="00696853"/>
    <w:rsid w:val="00696FC4"/>
    <w:rsid w:val="00697F40"/>
    <w:rsid w:val="006A1C57"/>
    <w:rsid w:val="006A1C79"/>
    <w:rsid w:val="006A5F3D"/>
    <w:rsid w:val="006A69AA"/>
    <w:rsid w:val="006A71FD"/>
    <w:rsid w:val="006B0BBB"/>
    <w:rsid w:val="006B588A"/>
    <w:rsid w:val="006B608B"/>
    <w:rsid w:val="006B60C9"/>
    <w:rsid w:val="006B7F40"/>
    <w:rsid w:val="006C05D8"/>
    <w:rsid w:val="006C191D"/>
    <w:rsid w:val="006C29F2"/>
    <w:rsid w:val="006C2DD1"/>
    <w:rsid w:val="006C2EFC"/>
    <w:rsid w:val="006C2F99"/>
    <w:rsid w:val="006C315F"/>
    <w:rsid w:val="006C3E03"/>
    <w:rsid w:val="006C5356"/>
    <w:rsid w:val="006C5AB4"/>
    <w:rsid w:val="006C633B"/>
    <w:rsid w:val="006D1B56"/>
    <w:rsid w:val="006D1D93"/>
    <w:rsid w:val="006D2871"/>
    <w:rsid w:val="006D2FE9"/>
    <w:rsid w:val="006D3599"/>
    <w:rsid w:val="006D44EA"/>
    <w:rsid w:val="006D4931"/>
    <w:rsid w:val="006D537F"/>
    <w:rsid w:val="006D59E8"/>
    <w:rsid w:val="006D6A08"/>
    <w:rsid w:val="006D7003"/>
    <w:rsid w:val="006D7DC6"/>
    <w:rsid w:val="006E037A"/>
    <w:rsid w:val="006E03D0"/>
    <w:rsid w:val="006E70B3"/>
    <w:rsid w:val="006E78FC"/>
    <w:rsid w:val="006F0D03"/>
    <w:rsid w:val="006F0E42"/>
    <w:rsid w:val="006F3483"/>
    <w:rsid w:val="006F472F"/>
    <w:rsid w:val="006F766E"/>
    <w:rsid w:val="00703F97"/>
    <w:rsid w:val="0070426A"/>
    <w:rsid w:val="00704EF6"/>
    <w:rsid w:val="00711DCC"/>
    <w:rsid w:val="00712B0C"/>
    <w:rsid w:val="0071426A"/>
    <w:rsid w:val="007149B3"/>
    <w:rsid w:val="007152D9"/>
    <w:rsid w:val="00715EFD"/>
    <w:rsid w:val="0071744F"/>
    <w:rsid w:val="00717CEE"/>
    <w:rsid w:val="00720086"/>
    <w:rsid w:val="00721E27"/>
    <w:rsid w:val="00724D5D"/>
    <w:rsid w:val="00727285"/>
    <w:rsid w:val="0072781E"/>
    <w:rsid w:val="00730F9E"/>
    <w:rsid w:val="00732572"/>
    <w:rsid w:val="00734092"/>
    <w:rsid w:val="007344A5"/>
    <w:rsid w:val="007345AA"/>
    <w:rsid w:val="0073720C"/>
    <w:rsid w:val="00737F48"/>
    <w:rsid w:val="007406EB"/>
    <w:rsid w:val="00740CB5"/>
    <w:rsid w:val="007420B6"/>
    <w:rsid w:val="007435F7"/>
    <w:rsid w:val="0074679A"/>
    <w:rsid w:val="00746E89"/>
    <w:rsid w:val="007471E6"/>
    <w:rsid w:val="00753441"/>
    <w:rsid w:val="00753569"/>
    <w:rsid w:val="00753A35"/>
    <w:rsid w:val="00753D04"/>
    <w:rsid w:val="007567CF"/>
    <w:rsid w:val="007575FE"/>
    <w:rsid w:val="00761B6A"/>
    <w:rsid w:val="00761E75"/>
    <w:rsid w:val="00763214"/>
    <w:rsid w:val="00763B6D"/>
    <w:rsid w:val="00763D04"/>
    <w:rsid w:val="00765469"/>
    <w:rsid w:val="007660D8"/>
    <w:rsid w:val="00770B36"/>
    <w:rsid w:val="0077372E"/>
    <w:rsid w:val="00773A92"/>
    <w:rsid w:val="00773DC3"/>
    <w:rsid w:val="00776211"/>
    <w:rsid w:val="00776C3C"/>
    <w:rsid w:val="007808A8"/>
    <w:rsid w:val="00783FD3"/>
    <w:rsid w:val="007853B9"/>
    <w:rsid w:val="00785881"/>
    <w:rsid w:val="00785BAB"/>
    <w:rsid w:val="007862AC"/>
    <w:rsid w:val="00791020"/>
    <w:rsid w:val="007913C5"/>
    <w:rsid w:val="00792EC2"/>
    <w:rsid w:val="00793A11"/>
    <w:rsid w:val="00794192"/>
    <w:rsid w:val="00794CA8"/>
    <w:rsid w:val="00795D2A"/>
    <w:rsid w:val="007966DE"/>
    <w:rsid w:val="007A02D4"/>
    <w:rsid w:val="007A0FD6"/>
    <w:rsid w:val="007A1F52"/>
    <w:rsid w:val="007A4111"/>
    <w:rsid w:val="007A4387"/>
    <w:rsid w:val="007A7ECD"/>
    <w:rsid w:val="007B1C2D"/>
    <w:rsid w:val="007B2F9A"/>
    <w:rsid w:val="007B3A99"/>
    <w:rsid w:val="007B460B"/>
    <w:rsid w:val="007B4AF8"/>
    <w:rsid w:val="007B5E65"/>
    <w:rsid w:val="007B774D"/>
    <w:rsid w:val="007B7F65"/>
    <w:rsid w:val="007C3772"/>
    <w:rsid w:val="007C3AFF"/>
    <w:rsid w:val="007C3FF0"/>
    <w:rsid w:val="007C7950"/>
    <w:rsid w:val="007D1491"/>
    <w:rsid w:val="007D2B5C"/>
    <w:rsid w:val="007D3C5C"/>
    <w:rsid w:val="007D556C"/>
    <w:rsid w:val="007D7563"/>
    <w:rsid w:val="007D783C"/>
    <w:rsid w:val="007D792B"/>
    <w:rsid w:val="007D7A50"/>
    <w:rsid w:val="007E0A90"/>
    <w:rsid w:val="007E252E"/>
    <w:rsid w:val="007E3328"/>
    <w:rsid w:val="007E3625"/>
    <w:rsid w:val="007E52B6"/>
    <w:rsid w:val="007E5F90"/>
    <w:rsid w:val="007E619C"/>
    <w:rsid w:val="007E6824"/>
    <w:rsid w:val="007E6FEC"/>
    <w:rsid w:val="007F0826"/>
    <w:rsid w:val="007F1535"/>
    <w:rsid w:val="007F1839"/>
    <w:rsid w:val="007F210D"/>
    <w:rsid w:val="007F25F9"/>
    <w:rsid w:val="007F2DCB"/>
    <w:rsid w:val="007F4174"/>
    <w:rsid w:val="007F4196"/>
    <w:rsid w:val="007F6E16"/>
    <w:rsid w:val="007F74F0"/>
    <w:rsid w:val="007F7D4E"/>
    <w:rsid w:val="00800336"/>
    <w:rsid w:val="0080591A"/>
    <w:rsid w:val="008109E6"/>
    <w:rsid w:val="00810F29"/>
    <w:rsid w:val="00813CBD"/>
    <w:rsid w:val="00814FDA"/>
    <w:rsid w:val="00817236"/>
    <w:rsid w:val="00822C02"/>
    <w:rsid w:val="008261E4"/>
    <w:rsid w:val="0082654C"/>
    <w:rsid w:val="00834C2C"/>
    <w:rsid w:val="0083536B"/>
    <w:rsid w:val="008358C3"/>
    <w:rsid w:val="00835B11"/>
    <w:rsid w:val="00840EC4"/>
    <w:rsid w:val="008421AB"/>
    <w:rsid w:val="0084452D"/>
    <w:rsid w:val="00844D4D"/>
    <w:rsid w:val="00845775"/>
    <w:rsid w:val="0084650D"/>
    <w:rsid w:val="00853254"/>
    <w:rsid w:val="008539D4"/>
    <w:rsid w:val="00860110"/>
    <w:rsid w:val="00862B07"/>
    <w:rsid w:val="00862E3B"/>
    <w:rsid w:val="00865C99"/>
    <w:rsid w:val="00867E30"/>
    <w:rsid w:val="00870B38"/>
    <w:rsid w:val="0087231C"/>
    <w:rsid w:val="008801E7"/>
    <w:rsid w:val="0088360D"/>
    <w:rsid w:val="0088372A"/>
    <w:rsid w:val="00883CE5"/>
    <w:rsid w:val="00884E0B"/>
    <w:rsid w:val="00886257"/>
    <w:rsid w:val="00886ECD"/>
    <w:rsid w:val="0089154F"/>
    <w:rsid w:val="008951A6"/>
    <w:rsid w:val="00895DB2"/>
    <w:rsid w:val="008965BA"/>
    <w:rsid w:val="0089786C"/>
    <w:rsid w:val="00897B4D"/>
    <w:rsid w:val="008A09E3"/>
    <w:rsid w:val="008A1B85"/>
    <w:rsid w:val="008A2A2E"/>
    <w:rsid w:val="008A5B16"/>
    <w:rsid w:val="008A691B"/>
    <w:rsid w:val="008A7A3D"/>
    <w:rsid w:val="008B0317"/>
    <w:rsid w:val="008B05DD"/>
    <w:rsid w:val="008B1319"/>
    <w:rsid w:val="008B758A"/>
    <w:rsid w:val="008B7B60"/>
    <w:rsid w:val="008C24E0"/>
    <w:rsid w:val="008C54C6"/>
    <w:rsid w:val="008C59EC"/>
    <w:rsid w:val="008D025E"/>
    <w:rsid w:val="008D12A7"/>
    <w:rsid w:val="008D140F"/>
    <w:rsid w:val="008D190F"/>
    <w:rsid w:val="008D19DD"/>
    <w:rsid w:val="008D368A"/>
    <w:rsid w:val="008D3F41"/>
    <w:rsid w:val="008D4B70"/>
    <w:rsid w:val="008D578C"/>
    <w:rsid w:val="008D629E"/>
    <w:rsid w:val="008E0856"/>
    <w:rsid w:val="008E0C33"/>
    <w:rsid w:val="008E216D"/>
    <w:rsid w:val="008E2576"/>
    <w:rsid w:val="008E3B8F"/>
    <w:rsid w:val="008E3CD3"/>
    <w:rsid w:val="008E7187"/>
    <w:rsid w:val="008E7EFA"/>
    <w:rsid w:val="008F0BC5"/>
    <w:rsid w:val="008F3319"/>
    <w:rsid w:val="008F3E94"/>
    <w:rsid w:val="008F4AC2"/>
    <w:rsid w:val="008F4D73"/>
    <w:rsid w:val="008F4E33"/>
    <w:rsid w:val="008F52A8"/>
    <w:rsid w:val="008F5B78"/>
    <w:rsid w:val="008F7596"/>
    <w:rsid w:val="009017CB"/>
    <w:rsid w:val="00903199"/>
    <w:rsid w:val="00904ED8"/>
    <w:rsid w:val="00907244"/>
    <w:rsid w:val="00907384"/>
    <w:rsid w:val="00912B66"/>
    <w:rsid w:val="00913E33"/>
    <w:rsid w:val="00915468"/>
    <w:rsid w:val="00916546"/>
    <w:rsid w:val="00921113"/>
    <w:rsid w:val="009212AD"/>
    <w:rsid w:val="009212C7"/>
    <w:rsid w:val="00923D14"/>
    <w:rsid w:val="00930AD0"/>
    <w:rsid w:val="0093114A"/>
    <w:rsid w:val="0093458A"/>
    <w:rsid w:val="00935C44"/>
    <w:rsid w:val="009409CB"/>
    <w:rsid w:val="00940CC4"/>
    <w:rsid w:val="0094106F"/>
    <w:rsid w:val="00941C2A"/>
    <w:rsid w:val="00941FB7"/>
    <w:rsid w:val="00942F9C"/>
    <w:rsid w:val="00944063"/>
    <w:rsid w:val="00944147"/>
    <w:rsid w:val="0094479D"/>
    <w:rsid w:val="00945686"/>
    <w:rsid w:val="009459F6"/>
    <w:rsid w:val="00950FEF"/>
    <w:rsid w:val="009515E7"/>
    <w:rsid w:val="0095279C"/>
    <w:rsid w:val="00952CE5"/>
    <w:rsid w:val="00953363"/>
    <w:rsid w:val="00953B3D"/>
    <w:rsid w:val="00955D48"/>
    <w:rsid w:val="00956227"/>
    <w:rsid w:val="00960A5C"/>
    <w:rsid w:val="009625E7"/>
    <w:rsid w:val="0096260D"/>
    <w:rsid w:val="00966A1C"/>
    <w:rsid w:val="00970916"/>
    <w:rsid w:val="00971266"/>
    <w:rsid w:val="00972A0E"/>
    <w:rsid w:val="00972BCB"/>
    <w:rsid w:val="00973CF4"/>
    <w:rsid w:val="00976DBB"/>
    <w:rsid w:val="00980F9C"/>
    <w:rsid w:val="00981F03"/>
    <w:rsid w:val="0098206A"/>
    <w:rsid w:val="00983178"/>
    <w:rsid w:val="009834F0"/>
    <w:rsid w:val="00983A1E"/>
    <w:rsid w:val="00984F5A"/>
    <w:rsid w:val="00985051"/>
    <w:rsid w:val="009867BB"/>
    <w:rsid w:val="00986861"/>
    <w:rsid w:val="009870D0"/>
    <w:rsid w:val="0098738E"/>
    <w:rsid w:val="00987DC7"/>
    <w:rsid w:val="00991001"/>
    <w:rsid w:val="00991F73"/>
    <w:rsid w:val="00991FE7"/>
    <w:rsid w:val="00992D02"/>
    <w:rsid w:val="00992EAB"/>
    <w:rsid w:val="00993AC7"/>
    <w:rsid w:val="00995090"/>
    <w:rsid w:val="009A0925"/>
    <w:rsid w:val="009A1052"/>
    <w:rsid w:val="009A14CB"/>
    <w:rsid w:val="009A19FC"/>
    <w:rsid w:val="009A5635"/>
    <w:rsid w:val="009A5DF2"/>
    <w:rsid w:val="009A6165"/>
    <w:rsid w:val="009A6F09"/>
    <w:rsid w:val="009B00C5"/>
    <w:rsid w:val="009B1CCE"/>
    <w:rsid w:val="009B29B8"/>
    <w:rsid w:val="009B32D8"/>
    <w:rsid w:val="009B6C8F"/>
    <w:rsid w:val="009B7603"/>
    <w:rsid w:val="009B7D24"/>
    <w:rsid w:val="009C15DB"/>
    <w:rsid w:val="009C5791"/>
    <w:rsid w:val="009C61BE"/>
    <w:rsid w:val="009C67AC"/>
    <w:rsid w:val="009C6BE1"/>
    <w:rsid w:val="009C7B18"/>
    <w:rsid w:val="009C7CA6"/>
    <w:rsid w:val="009C7D65"/>
    <w:rsid w:val="009D11A3"/>
    <w:rsid w:val="009D2DEE"/>
    <w:rsid w:val="009D4182"/>
    <w:rsid w:val="009E12B2"/>
    <w:rsid w:val="009E1A00"/>
    <w:rsid w:val="009E2F1D"/>
    <w:rsid w:val="009E3481"/>
    <w:rsid w:val="009E43FF"/>
    <w:rsid w:val="009E7168"/>
    <w:rsid w:val="009F5474"/>
    <w:rsid w:val="009F7784"/>
    <w:rsid w:val="009F7B0D"/>
    <w:rsid w:val="00A0180F"/>
    <w:rsid w:val="00A0381E"/>
    <w:rsid w:val="00A0499A"/>
    <w:rsid w:val="00A04B5A"/>
    <w:rsid w:val="00A0602B"/>
    <w:rsid w:val="00A06E84"/>
    <w:rsid w:val="00A079C7"/>
    <w:rsid w:val="00A114C0"/>
    <w:rsid w:val="00A11C3F"/>
    <w:rsid w:val="00A168E4"/>
    <w:rsid w:val="00A175FE"/>
    <w:rsid w:val="00A200BC"/>
    <w:rsid w:val="00A207EE"/>
    <w:rsid w:val="00A229CA"/>
    <w:rsid w:val="00A234E5"/>
    <w:rsid w:val="00A23C3F"/>
    <w:rsid w:val="00A25363"/>
    <w:rsid w:val="00A25412"/>
    <w:rsid w:val="00A25B12"/>
    <w:rsid w:val="00A26AD4"/>
    <w:rsid w:val="00A2701A"/>
    <w:rsid w:val="00A273EA"/>
    <w:rsid w:val="00A27E9C"/>
    <w:rsid w:val="00A31584"/>
    <w:rsid w:val="00A330AA"/>
    <w:rsid w:val="00A33257"/>
    <w:rsid w:val="00A34D6D"/>
    <w:rsid w:val="00A34E8D"/>
    <w:rsid w:val="00A35B6E"/>
    <w:rsid w:val="00A36BE6"/>
    <w:rsid w:val="00A37874"/>
    <w:rsid w:val="00A45179"/>
    <w:rsid w:val="00A46570"/>
    <w:rsid w:val="00A4674E"/>
    <w:rsid w:val="00A4688E"/>
    <w:rsid w:val="00A47197"/>
    <w:rsid w:val="00A477FE"/>
    <w:rsid w:val="00A50283"/>
    <w:rsid w:val="00A503B1"/>
    <w:rsid w:val="00A504B1"/>
    <w:rsid w:val="00A5155D"/>
    <w:rsid w:val="00A52251"/>
    <w:rsid w:val="00A52B51"/>
    <w:rsid w:val="00A54982"/>
    <w:rsid w:val="00A54F0D"/>
    <w:rsid w:val="00A55001"/>
    <w:rsid w:val="00A61663"/>
    <w:rsid w:val="00A625E6"/>
    <w:rsid w:val="00A62BFA"/>
    <w:rsid w:val="00A659DD"/>
    <w:rsid w:val="00A70881"/>
    <w:rsid w:val="00A70A40"/>
    <w:rsid w:val="00A70CB3"/>
    <w:rsid w:val="00A7128C"/>
    <w:rsid w:val="00A717D7"/>
    <w:rsid w:val="00A7190E"/>
    <w:rsid w:val="00A71D90"/>
    <w:rsid w:val="00A731D4"/>
    <w:rsid w:val="00A73F20"/>
    <w:rsid w:val="00A74178"/>
    <w:rsid w:val="00A7617D"/>
    <w:rsid w:val="00A7662F"/>
    <w:rsid w:val="00A80225"/>
    <w:rsid w:val="00A83808"/>
    <w:rsid w:val="00A83ACC"/>
    <w:rsid w:val="00A83CFE"/>
    <w:rsid w:val="00A857BF"/>
    <w:rsid w:val="00A85914"/>
    <w:rsid w:val="00A901C0"/>
    <w:rsid w:val="00A920D8"/>
    <w:rsid w:val="00A92328"/>
    <w:rsid w:val="00A929D5"/>
    <w:rsid w:val="00A945F1"/>
    <w:rsid w:val="00A95A3D"/>
    <w:rsid w:val="00A96AC6"/>
    <w:rsid w:val="00A9763F"/>
    <w:rsid w:val="00AA2CE5"/>
    <w:rsid w:val="00AA3101"/>
    <w:rsid w:val="00AA3169"/>
    <w:rsid w:val="00AA3559"/>
    <w:rsid w:val="00AA3B74"/>
    <w:rsid w:val="00AA670B"/>
    <w:rsid w:val="00AA6DA6"/>
    <w:rsid w:val="00AA7BB2"/>
    <w:rsid w:val="00AB47A7"/>
    <w:rsid w:val="00AB4947"/>
    <w:rsid w:val="00AB6274"/>
    <w:rsid w:val="00AC08D3"/>
    <w:rsid w:val="00AC44DB"/>
    <w:rsid w:val="00AC53BC"/>
    <w:rsid w:val="00AC588C"/>
    <w:rsid w:val="00AC6890"/>
    <w:rsid w:val="00AC7BFC"/>
    <w:rsid w:val="00AD1AFF"/>
    <w:rsid w:val="00AD2874"/>
    <w:rsid w:val="00AD2D3A"/>
    <w:rsid w:val="00AD54B5"/>
    <w:rsid w:val="00AD6760"/>
    <w:rsid w:val="00AD750F"/>
    <w:rsid w:val="00AE1C31"/>
    <w:rsid w:val="00AE2820"/>
    <w:rsid w:val="00AE5177"/>
    <w:rsid w:val="00AE54A6"/>
    <w:rsid w:val="00AE6152"/>
    <w:rsid w:val="00AE6CC0"/>
    <w:rsid w:val="00AE717E"/>
    <w:rsid w:val="00AE7967"/>
    <w:rsid w:val="00AF1679"/>
    <w:rsid w:val="00AF341D"/>
    <w:rsid w:val="00B0164A"/>
    <w:rsid w:val="00B0399C"/>
    <w:rsid w:val="00B04CEF"/>
    <w:rsid w:val="00B06F99"/>
    <w:rsid w:val="00B10D57"/>
    <w:rsid w:val="00B11A85"/>
    <w:rsid w:val="00B11B73"/>
    <w:rsid w:val="00B11BAB"/>
    <w:rsid w:val="00B121F3"/>
    <w:rsid w:val="00B14BD8"/>
    <w:rsid w:val="00B15F3E"/>
    <w:rsid w:val="00B16773"/>
    <w:rsid w:val="00B169C1"/>
    <w:rsid w:val="00B16F6F"/>
    <w:rsid w:val="00B16FD9"/>
    <w:rsid w:val="00B1727E"/>
    <w:rsid w:val="00B17FF9"/>
    <w:rsid w:val="00B204B7"/>
    <w:rsid w:val="00B207E9"/>
    <w:rsid w:val="00B23BC2"/>
    <w:rsid w:val="00B254C0"/>
    <w:rsid w:val="00B25E8F"/>
    <w:rsid w:val="00B26DE0"/>
    <w:rsid w:val="00B2733C"/>
    <w:rsid w:val="00B31330"/>
    <w:rsid w:val="00B31D59"/>
    <w:rsid w:val="00B32B78"/>
    <w:rsid w:val="00B352BE"/>
    <w:rsid w:val="00B35AB1"/>
    <w:rsid w:val="00B35AC6"/>
    <w:rsid w:val="00B37831"/>
    <w:rsid w:val="00B401D6"/>
    <w:rsid w:val="00B401F5"/>
    <w:rsid w:val="00B40C72"/>
    <w:rsid w:val="00B414BF"/>
    <w:rsid w:val="00B42FBC"/>
    <w:rsid w:val="00B430E3"/>
    <w:rsid w:val="00B431C4"/>
    <w:rsid w:val="00B44C40"/>
    <w:rsid w:val="00B458AC"/>
    <w:rsid w:val="00B45A33"/>
    <w:rsid w:val="00B46FD0"/>
    <w:rsid w:val="00B5028C"/>
    <w:rsid w:val="00B52016"/>
    <w:rsid w:val="00B525BF"/>
    <w:rsid w:val="00B5354E"/>
    <w:rsid w:val="00B547A5"/>
    <w:rsid w:val="00B54A4A"/>
    <w:rsid w:val="00B56D55"/>
    <w:rsid w:val="00B62216"/>
    <w:rsid w:val="00B62B34"/>
    <w:rsid w:val="00B63244"/>
    <w:rsid w:val="00B63509"/>
    <w:rsid w:val="00B63933"/>
    <w:rsid w:val="00B63D09"/>
    <w:rsid w:val="00B65032"/>
    <w:rsid w:val="00B66C2C"/>
    <w:rsid w:val="00B71B7D"/>
    <w:rsid w:val="00B71D03"/>
    <w:rsid w:val="00B723F8"/>
    <w:rsid w:val="00B75B91"/>
    <w:rsid w:val="00B75BE3"/>
    <w:rsid w:val="00B75DB3"/>
    <w:rsid w:val="00B773A4"/>
    <w:rsid w:val="00B775BB"/>
    <w:rsid w:val="00B77E2E"/>
    <w:rsid w:val="00B80338"/>
    <w:rsid w:val="00B817C9"/>
    <w:rsid w:val="00B8290F"/>
    <w:rsid w:val="00B8324F"/>
    <w:rsid w:val="00B85942"/>
    <w:rsid w:val="00B86F91"/>
    <w:rsid w:val="00B87221"/>
    <w:rsid w:val="00B87D4A"/>
    <w:rsid w:val="00B906F7"/>
    <w:rsid w:val="00B934A4"/>
    <w:rsid w:val="00B94B21"/>
    <w:rsid w:val="00B94CB9"/>
    <w:rsid w:val="00B9667E"/>
    <w:rsid w:val="00BA2622"/>
    <w:rsid w:val="00BA27DA"/>
    <w:rsid w:val="00BA5CD6"/>
    <w:rsid w:val="00BA72B0"/>
    <w:rsid w:val="00BB1532"/>
    <w:rsid w:val="00BB1ECE"/>
    <w:rsid w:val="00BB2D5B"/>
    <w:rsid w:val="00BB3658"/>
    <w:rsid w:val="00BB60E3"/>
    <w:rsid w:val="00BC200A"/>
    <w:rsid w:val="00BC2038"/>
    <w:rsid w:val="00BC4DDC"/>
    <w:rsid w:val="00BC5FAA"/>
    <w:rsid w:val="00BC7A1D"/>
    <w:rsid w:val="00BD0CD7"/>
    <w:rsid w:val="00BD1BF0"/>
    <w:rsid w:val="00BD2D1C"/>
    <w:rsid w:val="00BD437B"/>
    <w:rsid w:val="00BD47C5"/>
    <w:rsid w:val="00BD50B5"/>
    <w:rsid w:val="00BD5B99"/>
    <w:rsid w:val="00BD710E"/>
    <w:rsid w:val="00BE1529"/>
    <w:rsid w:val="00BE27B6"/>
    <w:rsid w:val="00BE2DC6"/>
    <w:rsid w:val="00BE391D"/>
    <w:rsid w:val="00BE5CE1"/>
    <w:rsid w:val="00BE6255"/>
    <w:rsid w:val="00BF0A6F"/>
    <w:rsid w:val="00BF1FE3"/>
    <w:rsid w:val="00BF28A5"/>
    <w:rsid w:val="00BF32BD"/>
    <w:rsid w:val="00BF338E"/>
    <w:rsid w:val="00BF4584"/>
    <w:rsid w:val="00BF4661"/>
    <w:rsid w:val="00BF4667"/>
    <w:rsid w:val="00BF55B6"/>
    <w:rsid w:val="00BF5622"/>
    <w:rsid w:val="00BF6658"/>
    <w:rsid w:val="00BF7500"/>
    <w:rsid w:val="00C000A7"/>
    <w:rsid w:val="00C027DF"/>
    <w:rsid w:val="00C02F6B"/>
    <w:rsid w:val="00C03C16"/>
    <w:rsid w:val="00C03D17"/>
    <w:rsid w:val="00C04D7F"/>
    <w:rsid w:val="00C04F0B"/>
    <w:rsid w:val="00C062AE"/>
    <w:rsid w:val="00C0637D"/>
    <w:rsid w:val="00C0747A"/>
    <w:rsid w:val="00C11983"/>
    <w:rsid w:val="00C11F21"/>
    <w:rsid w:val="00C126DD"/>
    <w:rsid w:val="00C13A84"/>
    <w:rsid w:val="00C14341"/>
    <w:rsid w:val="00C14B66"/>
    <w:rsid w:val="00C169B6"/>
    <w:rsid w:val="00C178AA"/>
    <w:rsid w:val="00C20BBF"/>
    <w:rsid w:val="00C225AD"/>
    <w:rsid w:val="00C227B1"/>
    <w:rsid w:val="00C24254"/>
    <w:rsid w:val="00C2703A"/>
    <w:rsid w:val="00C27CB6"/>
    <w:rsid w:val="00C3029B"/>
    <w:rsid w:val="00C31CCC"/>
    <w:rsid w:val="00C354A4"/>
    <w:rsid w:val="00C360D5"/>
    <w:rsid w:val="00C36877"/>
    <w:rsid w:val="00C373FC"/>
    <w:rsid w:val="00C41C83"/>
    <w:rsid w:val="00C44759"/>
    <w:rsid w:val="00C44853"/>
    <w:rsid w:val="00C44B04"/>
    <w:rsid w:val="00C501B1"/>
    <w:rsid w:val="00C508E3"/>
    <w:rsid w:val="00C5189C"/>
    <w:rsid w:val="00C51D0D"/>
    <w:rsid w:val="00C52EE1"/>
    <w:rsid w:val="00C53FBB"/>
    <w:rsid w:val="00C543D6"/>
    <w:rsid w:val="00C55A02"/>
    <w:rsid w:val="00C566C0"/>
    <w:rsid w:val="00C56713"/>
    <w:rsid w:val="00C56FDD"/>
    <w:rsid w:val="00C57A08"/>
    <w:rsid w:val="00C57BC4"/>
    <w:rsid w:val="00C60162"/>
    <w:rsid w:val="00C60258"/>
    <w:rsid w:val="00C624C5"/>
    <w:rsid w:val="00C625DA"/>
    <w:rsid w:val="00C63B44"/>
    <w:rsid w:val="00C63DB7"/>
    <w:rsid w:val="00C65C5F"/>
    <w:rsid w:val="00C734A8"/>
    <w:rsid w:val="00C7356F"/>
    <w:rsid w:val="00C73DAF"/>
    <w:rsid w:val="00C76047"/>
    <w:rsid w:val="00C7624F"/>
    <w:rsid w:val="00C767C6"/>
    <w:rsid w:val="00C76A0B"/>
    <w:rsid w:val="00C8086F"/>
    <w:rsid w:val="00C80B7F"/>
    <w:rsid w:val="00C82291"/>
    <w:rsid w:val="00C82EC2"/>
    <w:rsid w:val="00C83B12"/>
    <w:rsid w:val="00C8636D"/>
    <w:rsid w:val="00C86780"/>
    <w:rsid w:val="00C86BB0"/>
    <w:rsid w:val="00C876F7"/>
    <w:rsid w:val="00C87F26"/>
    <w:rsid w:val="00C9040F"/>
    <w:rsid w:val="00C906C2"/>
    <w:rsid w:val="00C9072D"/>
    <w:rsid w:val="00C907A7"/>
    <w:rsid w:val="00C91067"/>
    <w:rsid w:val="00C919FF"/>
    <w:rsid w:val="00C91EEE"/>
    <w:rsid w:val="00C9349C"/>
    <w:rsid w:val="00C93B0A"/>
    <w:rsid w:val="00C954E5"/>
    <w:rsid w:val="00C95DD7"/>
    <w:rsid w:val="00C9716B"/>
    <w:rsid w:val="00C97D33"/>
    <w:rsid w:val="00CA0F72"/>
    <w:rsid w:val="00CA2597"/>
    <w:rsid w:val="00CA38F1"/>
    <w:rsid w:val="00CA49AC"/>
    <w:rsid w:val="00CB09B8"/>
    <w:rsid w:val="00CB1A1A"/>
    <w:rsid w:val="00CB224D"/>
    <w:rsid w:val="00CB266A"/>
    <w:rsid w:val="00CB2C30"/>
    <w:rsid w:val="00CB2C42"/>
    <w:rsid w:val="00CB30A1"/>
    <w:rsid w:val="00CB32D1"/>
    <w:rsid w:val="00CB37A4"/>
    <w:rsid w:val="00CB4A78"/>
    <w:rsid w:val="00CB5149"/>
    <w:rsid w:val="00CB5276"/>
    <w:rsid w:val="00CB5388"/>
    <w:rsid w:val="00CB62CE"/>
    <w:rsid w:val="00CB7175"/>
    <w:rsid w:val="00CB7736"/>
    <w:rsid w:val="00CC1E0C"/>
    <w:rsid w:val="00CC5B04"/>
    <w:rsid w:val="00CC62D8"/>
    <w:rsid w:val="00CC73F3"/>
    <w:rsid w:val="00CD0108"/>
    <w:rsid w:val="00CD1724"/>
    <w:rsid w:val="00CD53AC"/>
    <w:rsid w:val="00CD559E"/>
    <w:rsid w:val="00CE5586"/>
    <w:rsid w:val="00CE5E14"/>
    <w:rsid w:val="00CF0445"/>
    <w:rsid w:val="00CF0F44"/>
    <w:rsid w:val="00CF3B8A"/>
    <w:rsid w:val="00CF3C87"/>
    <w:rsid w:val="00CF47B7"/>
    <w:rsid w:val="00CF50A7"/>
    <w:rsid w:val="00CF51A5"/>
    <w:rsid w:val="00CF68EE"/>
    <w:rsid w:val="00D00E82"/>
    <w:rsid w:val="00D015DF"/>
    <w:rsid w:val="00D01F79"/>
    <w:rsid w:val="00D039FA"/>
    <w:rsid w:val="00D05A67"/>
    <w:rsid w:val="00D05D5E"/>
    <w:rsid w:val="00D05E94"/>
    <w:rsid w:val="00D07DF5"/>
    <w:rsid w:val="00D11969"/>
    <w:rsid w:val="00D13038"/>
    <w:rsid w:val="00D157D2"/>
    <w:rsid w:val="00D206F2"/>
    <w:rsid w:val="00D20A15"/>
    <w:rsid w:val="00D20E27"/>
    <w:rsid w:val="00D217C5"/>
    <w:rsid w:val="00D21A7B"/>
    <w:rsid w:val="00D23C35"/>
    <w:rsid w:val="00D24D9E"/>
    <w:rsid w:val="00D26244"/>
    <w:rsid w:val="00D267E9"/>
    <w:rsid w:val="00D27A7D"/>
    <w:rsid w:val="00D31733"/>
    <w:rsid w:val="00D32D4C"/>
    <w:rsid w:val="00D3447F"/>
    <w:rsid w:val="00D34CD1"/>
    <w:rsid w:val="00D36305"/>
    <w:rsid w:val="00D44BDF"/>
    <w:rsid w:val="00D44ECE"/>
    <w:rsid w:val="00D4511C"/>
    <w:rsid w:val="00D45D03"/>
    <w:rsid w:val="00D45D35"/>
    <w:rsid w:val="00D464F4"/>
    <w:rsid w:val="00D54046"/>
    <w:rsid w:val="00D5412A"/>
    <w:rsid w:val="00D55281"/>
    <w:rsid w:val="00D55919"/>
    <w:rsid w:val="00D56C99"/>
    <w:rsid w:val="00D60427"/>
    <w:rsid w:val="00D61077"/>
    <w:rsid w:val="00D647D4"/>
    <w:rsid w:val="00D648BA"/>
    <w:rsid w:val="00D70251"/>
    <w:rsid w:val="00D72484"/>
    <w:rsid w:val="00D740C4"/>
    <w:rsid w:val="00D74868"/>
    <w:rsid w:val="00D761C2"/>
    <w:rsid w:val="00D81098"/>
    <w:rsid w:val="00D8350A"/>
    <w:rsid w:val="00D835FF"/>
    <w:rsid w:val="00D848E5"/>
    <w:rsid w:val="00D91CDB"/>
    <w:rsid w:val="00D9285E"/>
    <w:rsid w:val="00D93056"/>
    <w:rsid w:val="00D93869"/>
    <w:rsid w:val="00D945FA"/>
    <w:rsid w:val="00D9610D"/>
    <w:rsid w:val="00D9620B"/>
    <w:rsid w:val="00D97AF1"/>
    <w:rsid w:val="00DA0A53"/>
    <w:rsid w:val="00DA1432"/>
    <w:rsid w:val="00DA16E8"/>
    <w:rsid w:val="00DA1DDF"/>
    <w:rsid w:val="00DA29ED"/>
    <w:rsid w:val="00DA36A5"/>
    <w:rsid w:val="00DA40C8"/>
    <w:rsid w:val="00DA631C"/>
    <w:rsid w:val="00DA6A20"/>
    <w:rsid w:val="00DA798C"/>
    <w:rsid w:val="00DA79E2"/>
    <w:rsid w:val="00DA7D37"/>
    <w:rsid w:val="00DB1578"/>
    <w:rsid w:val="00DB2E78"/>
    <w:rsid w:val="00DB39DE"/>
    <w:rsid w:val="00DB3CEF"/>
    <w:rsid w:val="00DB4898"/>
    <w:rsid w:val="00DB51D3"/>
    <w:rsid w:val="00DB7C94"/>
    <w:rsid w:val="00DC29B3"/>
    <w:rsid w:val="00DC2DB2"/>
    <w:rsid w:val="00DC3736"/>
    <w:rsid w:val="00DC3ACD"/>
    <w:rsid w:val="00DC3C8C"/>
    <w:rsid w:val="00DC5EA9"/>
    <w:rsid w:val="00DC64C5"/>
    <w:rsid w:val="00DC6581"/>
    <w:rsid w:val="00DD0C4A"/>
    <w:rsid w:val="00DD1349"/>
    <w:rsid w:val="00DD1808"/>
    <w:rsid w:val="00DD1B1F"/>
    <w:rsid w:val="00DD2434"/>
    <w:rsid w:val="00DD3CE1"/>
    <w:rsid w:val="00DD3FBC"/>
    <w:rsid w:val="00DD524F"/>
    <w:rsid w:val="00DD64B1"/>
    <w:rsid w:val="00DD7468"/>
    <w:rsid w:val="00DE2B8D"/>
    <w:rsid w:val="00DE2D88"/>
    <w:rsid w:val="00DE4F05"/>
    <w:rsid w:val="00DE534A"/>
    <w:rsid w:val="00DE67DA"/>
    <w:rsid w:val="00DF03FB"/>
    <w:rsid w:val="00DF368B"/>
    <w:rsid w:val="00DF41FC"/>
    <w:rsid w:val="00DF5F01"/>
    <w:rsid w:val="00DF7D23"/>
    <w:rsid w:val="00E007BA"/>
    <w:rsid w:val="00E01FC5"/>
    <w:rsid w:val="00E02A90"/>
    <w:rsid w:val="00E03105"/>
    <w:rsid w:val="00E0402D"/>
    <w:rsid w:val="00E04FF0"/>
    <w:rsid w:val="00E050FB"/>
    <w:rsid w:val="00E06BE7"/>
    <w:rsid w:val="00E1005C"/>
    <w:rsid w:val="00E12326"/>
    <w:rsid w:val="00E16733"/>
    <w:rsid w:val="00E17916"/>
    <w:rsid w:val="00E20B11"/>
    <w:rsid w:val="00E21C6D"/>
    <w:rsid w:val="00E22550"/>
    <w:rsid w:val="00E229A7"/>
    <w:rsid w:val="00E22AAE"/>
    <w:rsid w:val="00E22B82"/>
    <w:rsid w:val="00E244C4"/>
    <w:rsid w:val="00E246D7"/>
    <w:rsid w:val="00E2521D"/>
    <w:rsid w:val="00E25B4D"/>
    <w:rsid w:val="00E26796"/>
    <w:rsid w:val="00E26C9C"/>
    <w:rsid w:val="00E27599"/>
    <w:rsid w:val="00E31EE2"/>
    <w:rsid w:val="00E32E24"/>
    <w:rsid w:val="00E40E1C"/>
    <w:rsid w:val="00E419ED"/>
    <w:rsid w:val="00E44C47"/>
    <w:rsid w:val="00E457BF"/>
    <w:rsid w:val="00E4651C"/>
    <w:rsid w:val="00E46D92"/>
    <w:rsid w:val="00E51876"/>
    <w:rsid w:val="00E53603"/>
    <w:rsid w:val="00E538D5"/>
    <w:rsid w:val="00E5484D"/>
    <w:rsid w:val="00E54B56"/>
    <w:rsid w:val="00E60855"/>
    <w:rsid w:val="00E60BE8"/>
    <w:rsid w:val="00E60CC8"/>
    <w:rsid w:val="00E611F7"/>
    <w:rsid w:val="00E6148A"/>
    <w:rsid w:val="00E62603"/>
    <w:rsid w:val="00E637E6"/>
    <w:rsid w:val="00E66512"/>
    <w:rsid w:val="00E6670B"/>
    <w:rsid w:val="00E710EC"/>
    <w:rsid w:val="00E7176F"/>
    <w:rsid w:val="00E73C9B"/>
    <w:rsid w:val="00E74141"/>
    <w:rsid w:val="00E80CCD"/>
    <w:rsid w:val="00E8225A"/>
    <w:rsid w:val="00E83020"/>
    <w:rsid w:val="00E849CF"/>
    <w:rsid w:val="00E877AE"/>
    <w:rsid w:val="00E903BB"/>
    <w:rsid w:val="00E90449"/>
    <w:rsid w:val="00E9057C"/>
    <w:rsid w:val="00E90BDB"/>
    <w:rsid w:val="00E91703"/>
    <w:rsid w:val="00E9211B"/>
    <w:rsid w:val="00E9215D"/>
    <w:rsid w:val="00E93FEC"/>
    <w:rsid w:val="00E95433"/>
    <w:rsid w:val="00E95BDE"/>
    <w:rsid w:val="00E95BF7"/>
    <w:rsid w:val="00EA055B"/>
    <w:rsid w:val="00EA2145"/>
    <w:rsid w:val="00EA36B7"/>
    <w:rsid w:val="00EA439D"/>
    <w:rsid w:val="00EA6443"/>
    <w:rsid w:val="00EA774D"/>
    <w:rsid w:val="00EA7DF6"/>
    <w:rsid w:val="00EB4018"/>
    <w:rsid w:val="00EB4E80"/>
    <w:rsid w:val="00EB76F5"/>
    <w:rsid w:val="00EC1138"/>
    <w:rsid w:val="00EC2497"/>
    <w:rsid w:val="00EC44F3"/>
    <w:rsid w:val="00EC6642"/>
    <w:rsid w:val="00ED1D94"/>
    <w:rsid w:val="00ED24B5"/>
    <w:rsid w:val="00ED35C7"/>
    <w:rsid w:val="00ED504C"/>
    <w:rsid w:val="00ED53D5"/>
    <w:rsid w:val="00ED55EF"/>
    <w:rsid w:val="00ED5E14"/>
    <w:rsid w:val="00ED6A7A"/>
    <w:rsid w:val="00EE1607"/>
    <w:rsid w:val="00EE41DD"/>
    <w:rsid w:val="00EE6762"/>
    <w:rsid w:val="00EF0750"/>
    <w:rsid w:val="00EF2466"/>
    <w:rsid w:val="00EF2A81"/>
    <w:rsid w:val="00EF3353"/>
    <w:rsid w:val="00EF3848"/>
    <w:rsid w:val="00EF3D60"/>
    <w:rsid w:val="00EF414A"/>
    <w:rsid w:val="00EF4251"/>
    <w:rsid w:val="00EF489A"/>
    <w:rsid w:val="00EF6C0B"/>
    <w:rsid w:val="00EF7218"/>
    <w:rsid w:val="00F0007A"/>
    <w:rsid w:val="00F00A8A"/>
    <w:rsid w:val="00F027DD"/>
    <w:rsid w:val="00F06227"/>
    <w:rsid w:val="00F077E8"/>
    <w:rsid w:val="00F104BD"/>
    <w:rsid w:val="00F1052D"/>
    <w:rsid w:val="00F123C0"/>
    <w:rsid w:val="00F1270C"/>
    <w:rsid w:val="00F13E49"/>
    <w:rsid w:val="00F13F53"/>
    <w:rsid w:val="00F14823"/>
    <w:rsid w:val="00F14B61"/>
    <w:rsid w:val="00F15AE2"/>
    <w:rsid w:val="00F16647"/>
    <w:rsid w:val="00F16DB4"/>
    <w:rsid w:val="00F20166"/>
    <w:rsid w:val="00F25A62"/>
    <w:rsid w:val="00F273F6"/>
    <w:rsid w:val="00F309B7"/>
    <w:rsid w:val="00F30CD3"/>
    <w:rsid w:val="00F33904"/>
    <w:rsid w:val="00F367B0"/>
    <w:rsid w:val="00F402D8"/>
    <w:rsid w:val="00F40F59"/>
    <w:rsid w:val="00F41505"/>
    <w:rsid w:val="00F42B57"/>
    <w:rsid w:val="00F4380A"/>
    <w:rsid w:val="00F44DDC"/>
    <w:rsid w:val="00F46815"/>
    <w:rsid w:val="00F4695D"/>
    <w:rsid w:val="00F47902"/>
    <w:rsid w:val="00F47CD7"/>
    <w:rsid w:val="00F47E58"/>
    <w:rsid w:val="00F50CEE"/>
    <w:rsid w:val="00F5120F"/>
    <w:rsid w:val="00F51289"/>
    <w:rsid w:val="00F51D7C"/>
    <w:rsid w:val="00F5400A"/>
    <w:rsid w:val="00F55530"/>
    <w:rsid w:val="00F5620A"/>
    <w:rsid w:val="00F56855"/>
    <w:rsid w:val="00F57532"/>
    <w:rsid w:val="00F602D9"/>
    <w:rsid w:val="00F62015"/>
    <w:rsid w:val="00F62259"/>
    <w:rsid w:val="00F63815"/>
    <w:rsid w:val="00F63F3D"/>
    <w:rsid w:val="00F64785"/>
    <w:rsid w:val="00F66528"/>
    <w:rsid w:val="00F700C9"/>
    <w:rsid w:val="00F71283"/>
    <w:rsid w:val="00F7166B"/>
    <w:rsid w:val="00F71950"/>
    <w:rsid w:val="00F72160"/>
    <w:rsid w:val="00F72263"/>
    <w:rsid w:val="00F72370"/>
    <w:rsid w:val="00F72386"/>
    <w:rsid w:val="00F72A9F"/>
    <w:rsid w:val="00F73762"/>
    <w:rsid w:val="00F73FB9"/>
    <w:rsid w:val="00F749B1"/>
    <w:rsid w:val="00F75832"/>
    <w:rsid w:val="00F760EB"/>
    <w:rsid w:val="00F80172"/>
    <w:rsid w:val="00F845C3"/>
    <w:rsid w:val="00F86A36"/>
    <w:rsid w:val="00F904A3"/>
    <w:rsid w:val="00F91628"/>
    <w:rsid w:val="00F91A58"/>
    <w:rsid w:val="00F92295"/>
    <w:rsid w:val="00F9347A"/>
    <w:rsid w:val="00F93E15"/>
    <w:rsid w:val="00F95414"/>
    <w:rsid w:val="00F96AB7"/>
    <w:rsid w:val="00F975E5"/>
    <w:rsid w:val="00FA0A40"/>
    <w:rsid w:val="00FA0C42"/>
    <w:rsid w:val="00FA1C2B"/>
    <w:rsid w:val="00FA23DE"/>
    <w:rsid w:val="00FA2EAA"/>
    <w:rsid w:val="00FA3AF3"/>
    <w:rsid w:val="00FA5AE7"/>
    <w:rsid w:val="00FA7006"/>
    <w:rsid w:val="00FA7229"/>
    <w:rsid w:val="00FA7379"/>
    <w:rsid w:val="00FA7CF8"/>
    <w:rsid w:val="00FB09D7"/>
    <w:rsid w:val="00FB11AF"/>
    <w:rsid w:val="00FB17D0"/>
    <w:rsid w:val="00FB24B6"/>
    <w:rsid w:val="00FB33D7"/>
    <w:rsid w:val="00FB435B"/>
    <w:rsid w:val="00FB45F2"/>
    <w:rsid w:val="00FB48B4"/>
    <w:rsid w:val="00FB5E35"/>
    <w:rsid w:val="00FB735E"/>
    <w:rsid w:val="00FC156F"/>
    <w:rsid w:val="00FC1E2B"/>
    <w:rsid w:val="00FC4BB9"/>
    <w:rsid w:val="00FC6115"/>
    <w:rsid w:val="00FC62E7"/>
    <w:rsid w:val="00FC660C"/>
    <w:rsid w:val="00FC6969"/>
    <w:rsid w:val="00FD09D6"/>
    <w:rsid w:val="00FD0FD5"/>
    <w:rsid w:val="00FD130B"/>
    <w:rsid w:val="00FD1A1B"/>
    <w:rsid w:val="00FD3FD7"/>
    <w:rsid w:val="00FD417F"/>
    <w:rsid w:val="00FD5EC6"/>
    <w:rsid w:val="00FE1411"/>
    <w:rsid w:val="00FE19FA"/>
    <w:rsid w:val="00FE41A3"/>
    <w:rsid w:val="00FE47DF"/>
    <w:rsid w:val="00FE5921"/>
    <w:rsid w:val="00FE6E7A"/>
    <w:rsid w:val="00FF1C33"/>
    <w:rsid w:val="00FF213D"/>
    <w:rsid w:val="00FF2ABB"/>
    <w:rsid w:val="00FF4816"/>
    <w:rsid w:val="00FF51A9"/>
    <w:rsid w:val="00FF5530"/>
    <w:rsid w:val="00FF6707"/>
    <w:rsid w:val="00FF6902"/>
    <w:rsid w:val="00FF6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950"/>
    <w:rPr>
      <w:rFonts w:ascii="Arial" w:hAnsi="Arial"/>
      <w:sz w:val="24"/>
      <w:lang w:eastAsia="en-US"/>
    </w:rPr>
  </w:style>
  <w:style w:type="paragraph" w:styleId="Heading1">
    <w:name w:val="heading 1"/>
    <w:basedOn w:val="Heading2"/>
    <w:next w:val="Normal"/>
    <w:qFormat/>
    <w:pPr>
      <w:outlineLvl w:val="0"/>
    </w:pPr>
    <w:rPr>
      <w:rFonts w:ascii="Arial Black" w:hAnsi="Arial Black"/>
      <w:b w:val="0"/>
      <w:sz w:val="32"/>
    </w:rPr>
  </w:style>
  <w:style w:type="paragraph" w:styleId="Heading2">
    <w:name w:val="heading 2"/>
    <w:aliases w:val="ND Heading 2,Proposal,Heading 2 Hidden"/>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pPr>
      <w:tabs>
        <w:tab w:val="center" w:pos="4153"/>
        <w:tab w:val="right" w:pos="8306"/>
      </w:tabs>
    </w:pPr>
  </w:style>
  <w:style w:type="paragraph" w:styleId="BodyText3">
    <w:name w:val="Body Text 3"/>
    <w:basedOn w:val="Normal"/>
    <w:pPr>
      <w:jc w:val="both"/>
    </w:pPr>
    <w:rPr>
      <w:rFonts w:cs="Arial"/>
      <w:szCs w:val="24"/>
    </w:rPr>
  </w:style>
  <w:style w:type="paragraph" w:styleId="BodyTextIndent">
    <w:name w:val="Body Text Indent"/>
    <w:basedOn w:val="Normal"/>
    <w:pPr>
      <w:ind w:left="289" w:hanging="5"/>
      <w:jc w:val="both"/>
    </w:pPr>
    <w:rPr>
      <w:rFonts w:cs="Arial"/>
      <w:szCs w:val="22"/>
    </w:rPr>
  </w:style>
  <w:style w:type="paragraph" w:customStyle="1" w:styleId="infotext0">
    <w:name w:val="infotext"/>
    <w:basedOn w:val="Normal"/>
    <w:pPr>
      <w:spacing w:before="100" w:beforeAutospacing="1" w:after="100" w:afterAutospacing="1"/>
    </w:pPr>
    <w:rPr>
      <w:rFonts w:ascii="Times New Roman" w:hAnsi="Times New Roman"/>
      <w:szCs w:val="24"/>
      <w:lang w:val="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pPr>
      <w:pBdr>
        <w:left w:val="single" w:sz="4" w:space="0" w:color="auto"/>
        <w:right w:val="single" w:sz="4" w:space="0" w:color="auto"/>
      </w:pBdr>
      <w:spacing w:before="100" w:beforeAutospacing="1" w:after="100" w:afterAutospacing="1"/>
    </w:pPr>
    <w:rPr>
      <w:rFonts w:eastAsia="Arial Unicode MS" w:cs="Arial"/>
      <w:szCs w:val="24"/>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character" w:styleId="Hyperlink">
    <w:name w:val="Hyperlink"/>
    <w:rPr>
      <w:rFonts w:ascii="Arial" w:hAnsi="Arial" w:cs="Arial"/>
      <w:color w:val="0000FF"/>
      <w:sz w:val="24"/>
      <w:u w:val="single"/>
      <w:lang w:val="en-GB" w:eastAsia="en-US" w:bidi="ar-SA"/>
    </w:rPr>
  </w:style>
  <w:style w:type="paragraph" w:styleId="BodyText2">
    <w:name w:val="Body Text 2"/>
    <w:basedOn w:val="Normal"/>
    <w:pPr>
      <w:spacing w:before="90"/>
      <w:jc w:val="both"/>
    </w:pPr>
    <w:rPr>
      <w:rFonts w:cs="Arial"/>
      <w:sz w:val="20"/>
      <w:szCs w:val="22"/>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num" w:pos="374"/>
      </w:tabs>
      <w:ind w:left="374" w:hanging="374"/>
      <w:jc w:val="both"/>
    </w:pPr>
    <w:rPr>
      <w:rFonts w:cs="Arial"/>
      <w:bCs/>
    </w:rPr>
  </w:style>
  <w:style w:type="character" w:styleId="CommentReference">
    <w:name w:val="annotation reference"/>
    <w:semiHidden/>
    <w:rPr>
      <w:rFonts w:ascii="Arial" w:hAnsi="Arial" w:cs="Arial"/>
      <w:sz w:val="16"/>
      <w:szCs w:val="16"/>
      <w:lang w:val="en-GB" w:eastAsia="en-US" w:bidi="ar-SA"/>
    </w:rPr>
  </w:style>
  <w:style w:type="paragraph" w:customStyle="1" w:styleId="xl32">
    <w:name w:val="xl32"/>
    <w:basedOn w:val="Normal"/>
    <w:pPr>
      <w:pBdr>
        <w:left w:val="single" w:sz="4" w:space="0" w:color="auto"/>
      </w:pBdr>
      <w:spacing w:before="100" w:beforeAutospacing="1" w:after="100" w:afterAutospacing="1"/>
    </w:pPr>
    <w:rPr>
      <w:rFonts w:eastAsia="Arial Unicode MS" w:cs="Arial"/>
      <w:szCs w:val="24"/>
    </w:rPr>
  </w:style>
  <w:style w:type="paragraph" w:styleId="BlockText">
    <w:name w:val="Block Text"/>
    <w:basedOn w:val="Normal"/>
    <w:pPr>
      <w:ind w:left="567" w:right="141" w:hanging="567"/>
      <w:jc w:val="both"/>
    </w:pPr>
  </w:style>
  <w:style w:type="paragraph" w:customStyle="1" w:styleId="bullet4">
    <w:name w:val="bullet4"/>
    <w:basedOn w:val="Normal"/>
    <w:pPr>
      <w:numPr>
        <w:numId w:val="1"/>
      </w:numPr>
    </w:pPr>
  </w:style>
  <w:style w:type="character" w:styleId="PageNumber">
    <w:name w:val="page number"/>
    <w:basedOn w:val="DefaultParagraphFont"/>
    <w:rPr>
      <w:rFonts w:ascii="Arial" w:hAnsi="Arial" w:cs="Arial"/>
      <w:sz w:val="24"/>
      <w:lang w:val="en-GB" w:eastAsia="en-US" w:bidi="ar-SA"/>
    </w:rPr>
  </w:style>
  <w:style w:type="paragraph" w:customStyle="1" w:styleId="CharChar1Char">
    <w:name w:val="Char Char1 Char"/>
    <w:basedOn w:val="Normal"/>
    <w:pPr>
      <w:spacing w:after="160" w:line="240" w:lineRule="exact"/>
    </w:pPr>
    <w:rPr>
      <w:rFonts w:ascii="Tahoma" w:hAnsi="Tahoma"/>
      <w:sz w:val="20"/>
      <w:lang w:eastAsia="en-GB"/>
    </w:rPr>
  </w:style>
  <w:style w:type="paragraph" w:customStyle="1" w:styleId="CharChar">
    <w:name w:val="Char Char"/>
    <w:basedOn w:val="Normal"/>
    <w:rPr>
      <w:rFonts w:cs="Arial"/>
    </w:rPr>
  </w:style>
  <w:style w:type="paragraph" w:customStyle="1" w:styleId="NormalArial">
    <w:name w:val="Normal + Arial"/>
    <w:basedOn w:val="Normal"/>
    <w:pPr>
      <w:adjustRightInd w:val="0"/>
    </w:pPr>
    <w:rPr>
      <w:rFonts w:cs="Arial"/>
      <w:szCs w:val="24"/>
      <w:lang w:eastAsia="en-GB"/>
    </w:rPr>
  </w:style>
  <w:style w:type="paragraph" w:customStyle="1" w:styleId="Style1">
    <w:name w:val="Style1"/>
    <w:basedOn w:val="Normal"/>
    <w:pPr>
      <w:numPr>
        <w:numId w:val="2"/>
      </w:numPr>
      <w:tabs>
        <w:tab w:val="clear" w:pos="786"/>
      </w:tabs>
      <w:spacing w:before="120" w:after="120"/>
      <w:ind w:left="364"/>
    </w:pPr>
    <w:rPr>
      <w:rFonts w:cs="Arial"/>
      <w:szCs w:val="24"/>
    </w:rPr>
  </w:style>
  <w:style w:type="character" w:customStyle="1" w:styleId="PlainTextChar">
    <w:name w:val="Plain Text Char"/>
    <w:link w:val="PlainText"/>
    <w:semiHidden/>
    <w:locked/>
    <w:rsid w:val="00464EC7"/>
    <w:rPr>
      <w:rFonts w:ascii="Arial" w:hAnsi="Arial" w:cs="Arial"/>
      <w:sz w:val="24"/>
      <w:szCs w:val="21"/>
      <w:lang w:val="en-GB" w:eastAsia="en-GB" w:bidi="ar-SA"/>
    </w:rPr>
  </w:style>
  <w:style w:type="paragraph" w:customStyle="1" w:styleId="font5">
    <w:name w:val="font5"/>
    <w:basedOn w:val="Normal"/>
    <w:pPr>
      <w:spacing w:before="100" w:beforeAutospacing="1" w:after="100" w:afterAutospacing="1"/>
    </w:pPr>
    <w:rPr>
      <w:rFonts w:eastAsia="Arial Unicode MS" w:cs="Arial"/>
      <w:sz w:val="16"/>
      <w:szCs w:val="16"/>
    </w:rPr>
  </w:style>
  <w:style w:type="paragraph" w:customStyle="1" w:styleId="font6">
    <w:name w:val="font6"/>
    <w:basedOn w:val="Normal"/>
    <w:pPr>
      <w:spacing w:before="100" w:beforeAutospacing="1" w:after="100" w:afterAutospacing="1"/>
    </w:pPr>
    <w:rPr>
      <w:rFonts w:eastAsia="Arial Unicode MS" w:cs="Arial"/>
      <w:b/>
      <w:bCs/>
      <w:sz w:val="16"/>
      <w:szCs w:val="16"/>
    </w:rPr>
  </w:style>
  <w:style w:type="paragraph" w:customStyle="1" w:styleId="xl73">
    <w:name w:val="xl73"/>
    <w:basedOn w:val="Normal"/>
    <w:pPr>
      <w:spacing w:before="100" w:beforeAutospacing="1" w:after="100" w:afterAutospacing="1"/>
    </w:pPr>
    <w:rPr>
      <w:rFonts w:eastAsia="Arial Unicode MS" w:cs="Arial"/>
      <w:sz w:val="16"/>
      <w:szCs w:val="16"/>
    </w:rPr>
  </w:style>
  <w:style w:type="paragraph" w:customStyle="1" w:styleId="xl74">
    <w:name w:val="xl7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sz w:val="16"/>
      <w:szCs w:val="16"/>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6">
    <w:name w:val="xl76"/>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sz w:val="16"/>
      <w:szCs w:val="16"/>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8">
    <w:name w:val="xl78"/>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79">
    <w:name w:val="xl7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81">
    <w:name w:val="xl8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83">
    <w:name w:val="xl83"/>
    <w:basedOn w:val="Normal"/>
    <w:pPr>
      <w:pBdr>
        <w:left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4">
    <w:name w:val="xl84"/>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5">
    <w:name w:val="xl85"/>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top"/>
    </w:pPr>
    <w:rPr>
      <w:rFonts w:eastAsia="Arial Unicode MS" w:cs="Arial"/>
      <w:b/>
      <w:bCs/>
      <w:sz w:val="16"/>
      <w:szCs w:val="16"/>
    </w:rPr>
  </w:style>
  <w:style w:type="paragraph" w:customStyle="1" w:styleId="xl86">
    <w:name w:val="xl8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87">
    <w:name w:val="xl87"/>
    <w:basedOn w:val="Normal"/>
    <w:pPr>
      <w:pBdr>
        <w:top w:val="single" w:sz="4" w:space="0" w:color="auto"/>
        <w:left w:val="single" w:sz="4" w:space="0" w:color="auto"/>
        <w:bottom w:val="single" w:sz="8" w:space="0" w:color="auto"/>
      </w:pBdr>
      <w:spacing w:before="100" w:beforeAutospacing="1" w:after="100" w:afterAutospacing="1"/>
      <w:jc w:val="right"/>
      <w:textAlignment w:val="top"/>
    </w:pPr>
    <w:rPr>
      <w:rFonts w:eastAsia="Arial Unicode MS" w:cs="Arial"/>
      <w:b/>
      <w:bCs/>
      <w:sz w:val="16"/>
      <w:szCs w:val="16"/>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89">
    <w:name w:val="xl89"/>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0">
    <w:name w:val="xl90"/>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1">
    <w:name w:val="xl9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92">
    <w:name w:val="xl92"/>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94">
    <w:name w:val="xl9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6">
    <w:name w:val="xl96"/>
    <w:basedOn w:val="Normal"/>
    <w:pPr>
      <w:spacing w:before="100" w:beforeAutospacing="1" w:after="100" w:afterAutospacing="1"/>
      <w:jc w:val="right"/>
    </w:pPr>
    <w:rPr>
      <w:rFonts w:eastAsia="Arial Unicode MS" w:cs="Arial"/>
      <w:sz w:val="16"/>
      <w:szCs w:val="16"/>
    </w:rPr>
  </w:style>
  <w:style w:type="paragraph" w:customStyle="1" w:styleId="xl97">
    <w:name w:val="xl97"/>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8">
    <w:name w:val="xl98"/>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9">
    <w:name w:val="xl9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100">
    <w:name w:val="xl100"/>
    <w:basedOn w:val="Normal"/>
    <w:pPr>
      <w:pBdr>
        <w:top w:val="single" w:sz="4" w:space="0" w:color="auto"/>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101">
    <w:name w:val="xl101"/>
    <w:basedOn w:val="Normal"/>
    <w:pPr>
      <w:pBdr>
        <w:left w:val="single" w:sz="8"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2">
    <w:name w:val="xl102"/>
    <w:basedOn w:val="Normal"/>
    <w:pPr>
      <w:pBdr>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103">
    <w:name w:val="xl103"/>
    <w:basedOn w:val="Normal"/>
    <w:pPr>
      <w:spacing w:before="100" w:beforeAutospacing="1" w:after="100" w:afterAutospacing="1"/>
      <w:jc w:val="right"/>
      <w:textAlignment w:val="top"/>
    </w:pPr>
    <w:rPr>
      <w:rFonts w:eastAsia="Arial Unicode MS" w:cs="Arial"/>
      <w:b/>
      <w:bCs/>
      <w:sz w:val="16"/>
      <w:szCs w:val="16"/>
    </w:rPr>
  </w:style>
  <w:style w:type="paragraph" w:customStyle="1" w:styleId="xl104">
    <w:name w:val="xl104"/>
    <w:basedOn w:val="Normal"/>
    <w:pPr>
      <w:spacing w:before="100" w:beforeAutospacing="1" w:after="100" w:afterAutospacing="1"/>
      <w:jc w:val="both"/>
      <w:textAlignment w:val="top"/>
    </w:pPr>
    <w:rPr>
      <w:rFonts w:eastAsia="Arial Unicode MS" w:cs="Arial"/>
      <w:b/>
      <w:bCs/>
      <w:sz w:val="16"/>
      <w:szCs w:val="16"/>
    </w:rPr>
  </w:style>
  <w:style w:type="paragraph" w:customStyle="1" w:styleId="xl105">
    <w:name w:val="xl105"/>
    <w:basedOn w:val="Normal"/>
    <w:pPr>
      <w:pBdr>
        <w:left w:val="single" w:sz="8" w:space="0" w:color="auto"/>
        <w:right w:val="single" w:sz="8" w:space="0" w:color="auto"/>
      </w:pBdr>
      <w:spacing w:before="100" w:beforeAutospacing="1" w:after="100" w:afterAutospacing="1"/>
      <w:textAlignment w:val="top"/>
    </w:pPr>
    <w:rPr>
      <w:rFonts w:eastAsia="Arial Unicode MS" w:cs="Arial"/>
      <w:b/>
      <w:bCs/>
      <w:sz w:val="16"/>
      <w:szCs w:val="16"/>
    </w:rPr>
  </w:style>
  <w:style w:type="paragraph" w:customStyle="1" w:styleId="xl106">
    <w:name w:val="xl106"/>
    <w:basedOn w:val="Normal"/>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7">
    <w:name w:val="xl107"/>
    <w:basedOn w:val="Normal"/>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8">
    <w:name w:val="xl108"/>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09">
    <w:name w:val="xl109"/>
    <w:basedOn w:val="Normal"/>
    <w:pPr>
      <w:pBdr>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1">
    <w:name w:val="xl111"/>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2">
    <w:name w:val="xl112"/>
    <w:basedOn w:val="Normal"/>
    <w:pPr>
      <w:pBdr>
        <w:top w:val="single" w:sz="4" w:space="0" w:color="auto"/>
        <w:left w:val="single" w:sz="4" w:space="0" w:color="auto"/>
        <w:bottom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font7">
    <w:name w:val="font7"/>
    <w:basedOn w:val="Normal"/>
    <w:pPr>
      <w:spacing w:before="100" w:beforeAutospacing="1" w:after="100" w:afterAutospacing="1"/>
    </w:pPr>
    <w:rPr>
      <w:rFonts w:eastAsia="Arial Unicode MS" w:cs="Arial"/>
      <w:sz w:val="16"/>
      <w:szCs w:val="16"/>
    </w:rPr>
  </w:style>
  <w:style w:type="paragraph" w:customStyle="1" w:styleId="xl24">
    <w:name w:val="xl24"/>
    <w:basedOn w:val="Normal"/>
    <w:pPr>
      <w:spacing w:before="100" w:beforeAutospacing="1" w:after="100" w:afterAutospacing="1"/>
      <w:textAlignment w:val="top"/>
    </w:pPr>
    <w:rPr>
      <w:rFonts w:eastAsia="Arial Unicode MS" w:cs="Arial"/>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37">
    <w:name w:val="xl37"/>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8">
    <w:name w:val="xl38"/>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0">
    <w:name w:val="xl40"/>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1">
    <w:name w:val="xl41"/>
    <w:basedOn w:val="Normal"/>
    <w:pPr>
      <w:spacing w:before="100" w:beforeAutospacing="1" w:after="100" w:afterAutospacing="1"/>
      <w:jc w:val="center"/>
      <w:textAlignment w:val="top"/>
    </w:pPr>
    <w:rPr>
      <w:rFonts w:eastAsia="Arial Unicode MS" w:cs="Arial"/>
      <w:szCs w:val="24"/>
    </w:rPr>
  </w:style>
  <w:style w:type="paragraph" w:customStyle="1" w:styleId="xl42">
    <w:name w:val="xl4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49">
    <w:name w:val="xl49"/>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0">
    <w:name w:val="xl50"/>
    <w:basedOn w:val="Normal"/>
    <w:pPr>
      <w:pBdr>
        <w:top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51">
    <w:name w:val="xl51"/>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4">
    <w:name w:val="xl54"/>
    <w:basedOn w:val="Normal"/>
    <w:pPr>
      <w:pBdr>
        <w:left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5">
    <w:name w:val="xl55"/>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rFonts w:eastAsia="Arial Unicode MS" w:cs="Arial"/>
      <w:b/>
      <w:bCs/>
      <w:szCs w:val="24"/>
    </w:rPr>
  </w:style>
  <w:style w:type="paragraph" w:customStyle="1" w:styleId="xl58">
    <w:name w:val="xl58"/>
    <w:basedOn w:val="Normal"/>
    <w:pPr>
      <w:spacing w:before="100" w:beforeAutospacing="1" w:after="100" w:afterAutospacing="1"/>
      <w:jc w:val="center"/>
      <w:textAlignment w:val="top"/>
    </w:pPr>
    <w:rPr>
      <w:rFonts w:eastAsia="Arial Unicode MS" w:cs="Arial"/>
      <w:b/>
      <w:bCs/>
      <w:szCs w:val="24"/>
    </w:rPr>
  </w:style>
  <w:style w:type="paragraph" w:customStyle="1" w:styleId="xl59">
    <w:name w:val="xl59"/>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1">
    <w:name w:val="xl61"/>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7">
    <w:name w:val="xl67"/>
    <w:basedOn w:val="Normal"/>
    <w:pPr>
      <w:spacing w:before="100" w:beforeAutospacing="1" w:after="100" w:afterAutospacing="1"/>
      <w:jc w:val="center"/>
    </w:pPr>
    <w:rPr>
      <w:rFonts w:eastAsia="Arial Unicode MS" w:cs="Arial"/>
      <w:b/>
      <w:bCs/>
      <w:szCs w:val="24"/>
    </w:rPr>
  </w:style>
  <w:style w:type="paragraph" w:customStyle="1" w:styleId="xl68">
    <w:name w:val="xl68"/>
    <w:basedOn w:val="Normal"/>
    <w:pPr>
      <w:pBdr>
        <w:top w:val="single" w:sz="4" w:space="0" w:color="auto"/>
        <w:left w:val="single" w:sz="4" w:space="0" w:color="auto"/>
      </w:pBdr>
      <w:spacing w:before="100" w:beforeAutospacing="1" w:after="100" w:afterAutospacing="1"/>
    </w:pPr>
    <w:rPr>
      <w:rFonts w:eastAsia="Arial Unicode MS" w:cs="Arial"/>
      <w:b/>
      <w:bCs/>
      <w:sz w:val="32"/>
      <w:szCs w:val="32"/>
    </w:rPr>
  </w:style>
  <w:style w:type="paragraph" w:customStyle="1" w:styleId="xl69">
    <w:name w:val="xl69"/>
    <w:basedOn w:val="Normal"/>
    <w:pPr>
      <w:pBdr>
        <w:top w:val="single" w:sz="4" w:space="0" w:color="auto"/>
      </w:pBdr>
      <w:spacing w:before="100" w:beforeAutospacing="1" w:after="100" w:afterAutospacing="1"/>
      <w:jc w:val="center"/>
    </w:pPr>
    <w:rPr>
      <w:rFonts w:eastAsia="Arial Unicode MS" w:cs="Arial"/>
      <w:b/>
      <w:bCs/>
      <w:szCs w:val="24"/>
    </w:rPr>
  </w:style>
  <w:style w:type="paragraph" w:customStyle="1" w:styleId="xl70">
    <w:name w:val="xl70"/>
    <w:basedOn w:val="Normal"/>
    <w:pPr>
      <w:pBdr>
        <w:left w:val="single" w:sz="4" w:space="0" w:color="auto"/>
      </w:pBdr>
      <w:spacing w:before="100" w:beforeAutospacing="1" w:after="100" w:afterAutospacing="1"/>
      <w:jc w:val="center"/>
      <w:textAlignment w:val="center"/>
    </w:pPr>
    <w:rPr>
      <w:rFonts w:eastAsia="Arial Unicode MS" w:cs="Arial"/>
      <w:b/>
      <w:bCs/>
      <w:sz w:val="28"/>
      <w:szCs w:val="28"/>
    </w:rPr>
  </w:style>
  <w:style w:type="paragraph" w:customStyle="1" w:styleId="xl71">
    <w:name w:val="xl71"/>
    <w:basedOn w:val="Normal"/>
    <w:pPr>
      <w:spacing w:before="100" w:beforeAutospacing="1" w:after="100" w:afterAutospacing="1"/>
      <w:jc w:val="center"/>
      <w:textAlignment w:val="top"/>
    </w:pPr>
    <w:rPr>
      <w:rFonts w:eastAsia="Arial Unicode MS" w:cs="Arial"/>
      <w:b/>
      <w:bCs/>
      <w:szCs w:val="24"/>
    </w:rPr>
  </w:style>
  <w:style w:type="paragraph" w:customStyle="1" w:styleId="xl72">
    <w:name w:val="xl72"/>
    <w:basedOn w:val="Normal"/>
    <w:pPr>
      <w:spacing w:before="100" w:beforeAutospacing="1" w:after="100" w:afterAutospacing="1"/>
      <w:jc w:val="center"/>
    </w:pPr>
    <w:rPr>
      <w:rFonts w:eastAsia="Arial Unicode MS" w:cs="Arial"/>
      <w:szCs w:val="24"/>
    </w:rPr>
  </w:style>
  <w:style w:type="paragraph" w:customStyle="1" w:styleId="xl62">
    <w:name w:val="xl62"/>
    <w:basedOn w:val="Normal"/>
    <w:pPr>
      <w:spacing w:before="100" w:beforeAutospacing="1" w:after="100" w:afterAutospacing="1"/>
      <w:jc w:val="center"/>
      <w:textAlignment w:val="top"/>
    </w:pPr>
    <w:rPr>
      <w:rFonts w:eastAsia="Arial Unicode MS" w:cs="Arial"/>
      <w:b/>
      <w:bCs/>
      <w:szCs w:val="24"/>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4">
    <w:name w:val="xl64"/>
    <w:basedOn w:val="Normal"/>
    <w:pPr>
      <w:spacing w:before="100" w:beforeAutospacing="1" w:after="100" w:afterAutospacing="1"/>
      <w:jc w:val="center"/>
      <w:textAlignment w:val="top"/>
    </w:pPr>
    <w:rPr>
      <w:rFonts w:eastAsia="Arial Unicode MS" w:cs="Arial"/>
      <w:szCs w:val="24"/>
    </w:rPr>
  </w:style>
  <w:style w:type="paragraph" w:customStyle="1" w:styleId="xl65">
    <w:name w:val="xl65"/>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6">
    <w:name w:val="xl66"/>
    <w:basedOn w:val="Normal"/>
    <w:pPr>
      <w:pBdr>
        <w:left w:val="single" w:sz="4" w:space="0" w:color="auto"/>
        <w:right w:val="single" w:sz="4" w:space="0" w:color="auto"/>
      </w:pBdr>
      <w:spacing w:before="100" w:beforeAutospacing="1" w:after="100" w:afterAutospacing="1"/>
      <w:textAlignment w:val="top"/>
    </w:pPr>
    <w:rPr>
      <w:rFonts w:eastAsia="Arial Unicode MS" w:cs="Arial"/>
      <w:b/>
      <w:bCs/>
      <w:szCs w:val="24"/>
    </w:rPr>
  </w:style>
  <w:style w:type="character" w:styleId="FollowedHyperlink">
    <w:name w:val="FollowedHyperlink"/>
    <w:rPr>
      <w:rFonts w:ascii="Arial" w:hAnsi="Arial" w:cs="Arial"/>
      <w:color w:val="800080"/>
      <w:sz w:val="24"/>
      <w:u w:val="single"/>
      <w:lang w:val="en-GB" w:eastAsia="en-US" w:bidi="ar-SA"/>
    </w:rPr>
  </w:style>
  <w:style w:type="character" w:customStyle="1" w:styleId="WW8Num5z0">
    <w:name w:val="WW8Num5z0"/>
    <w:rPr>
      <w:rFonts w:ascii="Wingdings" w:hAnsi="Wingdings"/>
    </w:rPr>
  </w:style>
  <w:style w:type="character" w:customStyle="1" w:styleId="WW8Num4z0">
    <w:name w:val="WW8Num4z0"/>
    <w:rPr>
      <w:rFonts w:ascii="Symbol" w:hAnsi="Symbol"/>
    </w:rPr>
  </w:style>
  <w:style w:type="paragraph" w:styleId="List">
    <w:name w:val="List"/>
    <w:basedOn w:val="BodyText"/>
    <w:pPr>
      <w:suppressAutoHyphens/>
      <w:spacing w:after="120"/>
    </w:pPr>
    <w:rPr>
      <w:rFonts w:cs="Tahoma"/>
      <w:i w:val="0"/>
      <w:iCs w:val="0"/>
      <w:lang w:eastAsia="ar-SA"/>
    </w:rPr>
  </w:style>
  <w:style w:type="paragraph" w:styleId="Title">
    <w:name w:val="Title"/>
    <w:basedOn w:val="Normal"/>
    <w:qFormat/>
    <w:pPr>
      <w:suppressAutoHyphens/>
      <w:jc w:val="center"/>
    </w:pPr>
    <w:rPr>
      <w:rFonts w:cs="Arial"/>
      <w:b/>
      <w:sz w:val="28"/>
      <w:szCs w:val="28"/>
      <w:u w:val="single"/>
      <w:lang w:eastAsia="ar-SA"/>
    </w:rPr>
  </w:style>
  <w:style w:type="character" w:customStyle="1" w:styleId="WW8Num1z0">
    <w:name w:val="WW8Num1z0"/>
    <w:rPr>
      <w:rFonts w:ascii="Symbol" w:hAnsi="Symbol"/>
    </w:rPr>
  </w:style>
  <w:style w:type="paragraph" w:styleId="PlainText">
    <w:name w:val="Plain Text"/>
    <w:basedOn w:val="Normal"/>
    <w:link w:val="PlainTextChar"/>
    <w:semiHidden/>
    <w:rsid w:val="00464EC7"/>
    <w:rPr>
      <w:sz w:val="20"/>
      <w:szCs w:val="21"/>
      <w:lang w:eastAsia="en-GB"/>
    </w:rPr>
  </w:style>
  <w:style w:type="table" w:styleId="TableGrid">
    <w:name w:val="Table Grid"/>
    <w:basedOn w:val="TableNormal"/>
    <w:rsid w:val="00B40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C7E13"/>
    <w:rPr>
      <w:rFonts w:ascii="Arial" w:hAnsi="Arial"/>
      <w:sz w:val="24"/>
      <w:lang w:val="en-GB" w:eastAsia="en-US" w:bidi="ar-SA"/>
    </w:rPr>
  </w:style>
  <w:style w:type="paragraph" w:customStyle="1" w:styleId="1">
    <w:name w:val="1"/>
    <w:basedOn w:val="Normal"/>
    <w:locked/>
    <w:rsid w:val="00ED55EF"/>
    <w:pPr>
      <w:spacing w:after="160" w:line="240" w:lineRule="exact"/>
    </w:pPr>
    <w:rPr>
      <w:rFonts w:cs="Arial"/>
    </w:rPr>
  </w:style>
  <w:style w:type="paragraph" w:customStyle="1" w:styleId="CharCharCharChar2">
    <w:name w:val="Char Char Char Char2"/>
    <w:basedOn w:val="Normal"/>
    <w:locked/>
    <w:rsid w:val="000A55D4"/>
    <w:pPr>
      <w:spacing w:after="160" w:line="240" w:lineRule="exact"/>
    </w:pPr>
    <w:rPr>
      <w:rFonts w:ascii="Verdana" w:eastAsia="MS ??" w:hAnsi="Verdana" w:cs="Verdana"/>
      <w:sz w:val="20"/>
      <w:lang w:val="en-US"/>
    </w:rPr>
  </w:style>
  <w:style w:type="character" w:customStyle="1" w:styleId="CommentTextChar">
    <w:name w:val="Comment Text Char"/>
    <w:link w:val="CommentText"/>
    <w:uiPriority w:val="99"/>
    <w:semiHidden/>
    <w:rsid w:val="00033CFC"/>
    <w:rPr>
      <w:rFonts w:ascii="Arial" w:hAnsi="Arial"/>
      <w:lang w:eastAsia="en-US"/>
    </w:rPr>
  </w:style>
  <w:style w:type="paragraph" w:styleId="ListParagraph">
    <w:name w:val="List Paragraph"/>
    <w:basedOn w:val="Normal"/>
    <w:uiPriority w:val="34"/>
    <w:qFormat/>
    <w:rsid w:val="009870D0"/>
    <w:pPr>
      <w:ind w:left="720"/>
      <w:contextualSpacing/>
    </w:pPr>
  </w:style>
  <w:style w:type="paragraph" w:customStyle="1" w:styleId="CharCharCharChar">
    <w:name w:val="Char Char Char Char"/>
    <w:basedOn w:val="Normal"/>
    <w:locked/>
    <w:rsid w:val="00AC7BFC"/>
    <w:pPr>
      <w:spacing w:after="160" w:line="240" w:lineRule="exact"/>
    </w:pPr>
    <w:rPr>
      <w:rFonts w:ascii="Verdana" w:hAnsi="Verdana"/>
      <w:sz w:val="20"/>
      <w:lang w:val="en-US"/>
    </w:rPr>
  </w:style>
  <w:style w:type="paragraph" w:styleId="Revision">
    <w:name w:val="Revision"/>
    <w:hidden/>
    <w:uiPriority w:val="99"/>
    <w:semiHidden/>
    <w:rsid w:val="00554CAB"/>
    <w:rPr>
      <w:rFonts w:ascii="Arial" w:hAnsi="Arial"/>
      <w:sz w:val="24"/>
      <w:lang w:eastAsia="en-US"/>
    </w:rPr>
  </w:style>
  <w:style w:type="paragraph" w:customStyle="1" w:styleId="CharCharCharChar3">
    <w:name w:val="Char Char Char Char3"/>
    <w:basedOn w:val="Normal"/>
    <w:locked/>
    <w:rsid w:val="00484862"/>
    <w:pPr>
      <w:spacing w:after="160" w:line="240" w:lineRule="exact"/>
    </w:pPr>
    <w:rPr>
      <w:rFonts w:ascii="Verdana" w:hAnsi="Verdana"/>
      <w:sz w:val="20"/>
      <w:lang w:val="en-US"/>
    </w:rPr>
  </w:style>
  <w:style w:type="paragraph" w:customStyle="1" w:styleId="CharCharCharChar1">
    <w:name w:val="Char Char Char Char1"/>
    <w:basedOn w:val="Normal"/>
    <w:locked/>
    <w:rsid w:val="00591F00"/>
    <w:pPr>
      <w:spacing w:after="160" w:line="240" w:lineRule="exact"/>
    </w:pPr>
    <w:rPr>
      <w:rFonts w:ascii="Verdana" w:hAnsi="Verdana"/>
      <w:sz w:val="20"/>
      <w:lang w:val="en-US"/>
    </w:rPr>
  </w:style>
  <w:style w:type="character" w:styleId="LineNumber">
    <w:name w:val="line number"/>
    <w:basedOn w:val="DefaultParagraphFont"/>
    <w:rsid w:val="00D267E9"/>
  </w:style>
  <w:style w:type="numbering" w:customStyle="1" w:styleId="Style2">
    <w:name w:val="Style2"/>
    <w:uiPriority w:val="99"/>
    <w:rsid w:val="00B63933"/>
    <w:pPr>
      <w:numPr>
        <w:numId w:val="10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950"/>
    <w:rPr>
      <w:rFonts w:ascii="Arial" w:hAnsi="Arial"/>
      <w:sz w:val="24"/>
      <w:lang w:eastAsia="en-US"/>
    </w:rPr>
  </w:style>
  <w:style w:type="paragraph" w:styleId="Heading1">
    <w:name w:val="heading 1"/>
    <w:basedOn w:val="Heading2"/>
    <w:next w:val="Normal"/>
    <w:qFormat/>
    <w:pPr>
      <w:outlineLvl w:val="0"/>
    </w:pPr>
    <w:rPr>
      <w:rFonts w:ascii="Arial Black" w:hAnsi="Arial Black"/>
      <w:b w:val="0"/>
      <w:sz w:val="32"/>
    </w:rPr>
  </w:style>
  <w:style w:type="paragraph" w:styleId="Heading2">
    <w:name w:val="heading 2"/>
    <w:aliases w:val="ND Heading 2,Proposal,Heading 2 Hidden"/>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pPr>
      <w:tabs>
        <w:tab w:val="center" w:pos="4153"/>
        <w:tab w:val="right" w:pos="8306"/>
      </w:tabs>
    </w:pPr>
  </w:style>
  <w:style w:type="paragraph" w:styleId="BodyText3">
    <w:name w:val="Body Text 3"/>
    <w:basedOn w:val="Normal"/>
    <w:pPr>
      <w:jc w:val="both"/>
    </w:pPr>
    <w:rPr>
      <w:rFonts w:cs="Arial"/>
      <w:szCs w:val="24"/>
    </w:rPr>
  </w:style>
  <w:style w:type="paragraph" w:styleId="BodyTextIndent">
    <w:name w:val="Body Text Indent"/>
    <w:basedOn w:val="Normal"/>
    <w:pPr>
      <w:ind w:left="289" w:hanging="5"/>
      <w:jc w:val="both"/>
    </w:pPr>
    <w:rPr>
      <w:rFonts w:cs="Arial"/>
      <w:szCs w:val="22"/>
    </w:rPr>
  </w:style>
  <w:style w:type="paragraph" w:customStyle="1" w:styleId="infotext0">
    <w:name w:val="infotext"/>
    <w:basedOn w:val="Normal"/>
    <w:pPr>
      <w:spacing w:before="100" w:beforeAutospacing="1" w:after="100" w:afterAutospacing="1"/>
    </w:pPr>
    <w:rPr>
      <w:rFonts w:ascii="Times New Roman" w:hAnsi="Times New Roman"/>
      <w:szCs w:val="24"/>
      <w:lang w:val="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pPr>
      <w:pBdr>
        <w:left w:val="single" w:sz="4" w:space="0" w:color="auto"/>
        <w:right w:val="single" w:sz="4" w:space="0" w:color="auto"/>
      </w:pBdr>
      <w:spacing w:before="100" w:beforeAutospacing="1" w:after="100" w:afterAutospacing="1"/>
    </w:pPr>
    <w:rPr>
      <w:rFonts w:eastAsia="Arial Unicode MS" w:cs="Arial"/>
      <w:szCs w:val="24"/>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character" w:styleId="Hyperlink">
    <w:name w:val="Hyperlink"/>
    <w:rPr>
      <w:rFonts w:ascii="Arial" w:hAnsi="Arial" w:cs="Arial"/>
      <w:color w:val="0000FF"/>
      <w:sz w:val="24"/>
      <w:u w:val="single"/>
      <w:lang w:val="en-GB" w:eastAsia="en-US" w:bidi="ar-SA"/>
    </w:rPr>
  </w:style>
  <w:style w:type="paragraph" w:styleId="BodyText2">
    <w:name w:val="Body Text 2"/>
    <w:basedOn w:val="Normal"/>
    <w:pPr>
      <w:spacing w:before="90"/>
      <w:jc w:val="both"/>
    </w:pPr>
    <w:rPr>
      <w:rFonts w:cs="Arial"/>
      <w:sz w:val="20"/>
      <w:szCs w:val="22"/>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num" w:pos="374"/>
      </w:tabs>
      <w:ind w:left="374" w:hanging="374"/>
      <w:jc w:val="both"/>
    </w:pPr>
    <w:rPr>
      <w:rFonts w:cs="Arial"/>
      <w:bCs/>
    </w:rPr>
  </w:style>
  <w:style w:type="character" w:styleId="CommentReference">
    <w:name w:val="annotation reference"/>
    <w:semiHidden/>
    <w:rPr>
      <w:rFonts w:ascii="Arial" w:hAnsi="Arial" w:cs="Arial"/>
      <w:sz w:val="16"/>
      <w:szCs w:val="16"/>
      <w:lang w:val="en-GB" w:eastAsia="en-US" w:bidi="ar-SA"/>
    </w:rPr>
  </w:style>
  <w:style w:type="paragraph" w:customStyle="1" w:styleId="xl32">
    <w:name w:val="xl32"/>
    <w:basedOn w:val="Normal"/>
    <w:pPr>
      <w:pBdr>
        <w:left w:val="single" w:sz="4" w:space="0" w:color="auto"/>
      </w:pBdr>
      <w:spacing w:before="100" w:beforeAutospacing="1" w:after="100" w:afterAutospacing="1"/>
    </w:pPr>
    <w:rPr>
      <w:rFonts w:eastAsia="Arial Unicode MS" w:cs="Arial"/>
      <w:szCs w:val="24"/>
    </w:rPr>
  </w:style>
  <w:style w:type="paragraph" w:styleId="BlockText">
    <w:name w:val="Block Text"/>
    <w:basedOn w:val="Normal"/>
    <w:pPr>
      <w:ind w:left="567" w:right="141" w:hanging="567"/>
      <w:jc w:val="both"/>
    </w:pPr>
  </w:style>
  <w:style w:type="paragraph" w:customStyle="1" w:styleId="bullet4">
    <w:name w:val="bullet4"/>
    <w:basedOn w:val="Normal"/>
    <w:pPr>
      <w:numPr>
        <w:numId w:val="1"/>
      </w:numPr>
    </w:pPr>
  </w:style>
  <w:style w:type="character" w:styleId="PageNumber">
    <w:name w:val="page number"/>
    <w:basedOn w:val="DefaultParagraphFont"/>
    <w:rPr>
      <w:rFonts w:ascii="Arial" w:hAnsi="Arial" w:cs="Arial"/>
      <w:sz w:val="24"/>
      <w:lang w:val="en-GB" w:eastAsia="en-US" w:bidi="ar-SA"/>
    </w:rPr>
  </w:style>
  <w:style w:type="paragraph" w:customStyle="1" w:styleId="CharChar1Char">
    <w:name w:val="Char Char1 Char"/>
    <w:basedOn w:val="Normal"/>
    <w:pPr>
      <w:spacing w:after="160" w:line="240" w:lineRule="exact"/>
    </w:pPr>
    <w:rPr>
      <w:rFonts w:ascii="Tahoma" w:hAnsi="Tahoma"/>
      <w:sz w:val="20"/>
      <w:lang w:eastAsia="en-GB"/>
    </w:rPr>
  </w:style>
  <w:style w:type="paragraph" w:customStyle="1" w:styleId="CharChar">
    <w:name w:val="Char Char"/>
    <w:basedOn w:val="Normal"/>
    <w:rPr>
      <w:rFonts w:cs="Arial"/>
    </w:rPr>
  </w:style>
  <w:style w:type="paragraph" w:customStyle="1" w:styleId="NormalArial">
    <w:name w:val="Normal + Arial"/>
    <w:basedOn w:val="Normal"/>
    <w:pPr>
      <w:adjustRightInd w:val="0"/>
    </w:pPr>
    <w:rPr>
      <w:rFonts w:cs="Arial"/>
      <w:szCs w:val="24"/>
      <w:lang w:eastAsia="en-GB"/>
    </w:rPr>
  </w:style>
  <w:style w:type="paragraph" w:customStyle="1" w:styleId="Style1">
    <w:name w:val="Style1"/>
    <w:basedOn w:val="Normal"/>
    <w:pPr>
      <w:numPr>
        <w:numId w:val="2"/>
      </w:numPr>
      <w:tabs>
        <w:tab w:val="clear" w:pos="786"/>
      </w:tabs>
      <w:spacing w:before="120" w:after="120"/>
      <w:ind w:left="364"/>
    </w:pPr>
    <w:rPr>
      <w:rFonts w:cs="Arial"/>
      <w:szCs w:val="24"/>
    </w:rPr>
  </w:style>
  <w:style w:type="character" w:customStyle="1" w:styleId="PlainTextChar">
    <w:name w:val="Plain Text Char"/>
    <w:link w:val="PlainText"/>
    <w:semiHidden/>
    <w:locked/>
    <w:rsid w:val="00464EC7"/>
    <w:rPr>
      <w:rFonts w:ascii="Arial" w:hAnsi="Arial" w:cs="Arial"/>
      <w:sz w:val="24"/>
      <w:szCs w:val="21"/>
      <w:lang w:val="en-GB" w:eastAsia="en-GB" w:bidi="ar-SA"/>
    </w:rPr>
  </w:style>
  <w:style w:type="paragraph" w:customStyle="1" w:styleId="font5">
    <w:name w:val="font5"/>
    <w:basedOn w:val="Normal"/>
    <w:pPr>
      <w:spacing w:before="100" w:beforeAutospacing="1" w:after="100" w:afterAutospacing="1"/>
    </w:pPr>
    <w:rPr>
      <w:rFonts w:eastAsia="Arial Unicode MS" w:cs="Arial"/>
      <w:sz w:val="16"/>
      <w:szCs w:val="16"/>
    </w:rPr>
  </w:style>
  <w:style w:type="paragraph" w:customStyle="1" w:styleId="font6">
    <w:name w:val="font6"/>
    <w:basedOn w:val="Normal"/>
    <w:pPr>
      <w:spacing w:before="100" w:beforeAutospacing="1" w:after="100" w:afterAutospacing="1"/>
    </w:pPr>
    <w:rPr>
      <w:rFonts w:eastAsia="Arial Unicode MS" w:cs="Arial"/>
      <w:b/>
      <w:bCs/>
      <w:sz w:val="16"/>
      <w:szCs w:val="16"/>
    </w:rPr>
  </w:style>
  <w:style w:type="paragraph" w:customStyle="1" w:styleId="xl73">
    <w:name w:val="xl73"/>
    <w:basedOn w:val="Normal"/>
    <w:pPr>
      <w:spacing w:before="100" w:beforeAutospacing="1" w:after="100" w:afterAutospacing="1"/>
    </w:pPr>
    <w:rPr>
      <w:rFonts w:eastAsia="Arial Unicode MS" w:cs="Arial"/>
      <w:sz w:val="16"/>
      <w:szCs w:val="16"/>
    </w:rPr>
  </w:style>
  <w:style w:type="paragraph" w:customStyle="1" w:styleId="xl74">
    <w:name w:val="xl7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sz w:val="16"/>
      <w:szCs w:val="16"/>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6">
    <w:name w:val="xl76"/>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sz w:val="16"/>
      <w:szCs w:val="16"/>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8">
    <w:name w:val="xl78"/>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79">
    <w:name w:val="xl7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81">
    <w:name w:val="xl8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83">
    <w:name w:val="xl83"/>
    <w:basedOn w:val="Normal"/>
    <w:pPr>
      <w:pBdr>
        <w:left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4">
    <w:name w:val="xl84"/>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5">
    <w:name w:val="xl85"/>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top"/>
    </w:pPr>
    <w:rPr>
      <w:rFonts w:eastAsia="Arial Unicode MS" w:cs="Arial"/>
      <w:b/>
      <w:bCs/>
      <w:sz w:val="16"/>
      <w:szCs w:val="16"/>
    </w:rPr>
  </w:style>
  <w:style w:type="paragraph" w:customStyle="1" w:styleId="xl86">
    <w:name w:val="xl8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87">
    <w:name w:val="xl87"/>
    <w:basedOn w:val="Normal"/>
    <w:pPr>
      <w:pBdr>
        <w:top w:val="single" w:sz="4" w:space="0" w:color="auto"/>
        <w:left w:val="single" w:sz="4" w:space="0" w:color="auto"/>
        <w:bottom w:val="single" w:sz="8" w:space="0" w:color="auto"/>
      </w:pBdr>
      <w:spacing w:before="100" w:beforeAutospacing="1" w:after="100" w:afterAutospacing="1"/>
      <w:jc w:val="right"/>
      <w:textAlignment w:val="top"/>
    </w:pPr>
    <w:rPr>
      <w:rFonts w:eastAsia="Arial Unicode MS" w:cs="Arial"/>
      <w:b/>
      <w:bCs/>
      <w:sz w:val="16"/>
      <w:szCs w:val="16"/>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89">
    <w:name w:val="xl89"/>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0">
    <w:name w:val="xl90"/>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1">
    <w:name w:val="xl9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92">
    <w:name w:val="xl92"/>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94">
    <w:name w:val="xl9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6">
    <w:name w:val="xl96"/>
    <w:basedOn w:val="Normal"/>
    <w:pPr>
      <w:spacing w:before="100" w:beforeAutospacing="1" w:after="100" w:afterAutospacing="1"/>
      <w:jc w:val="right"/>
    </w:pPr>
    <w:rPr>
      <w:rFonts w:eastAsia="Arial Unicode MS" w:cs="Arial"/>
      <w:sz w:val="16"/>
      <w:szCs w:val="16"/>
    </w:rPr>
  </w:style>
  <w:style w:type="paragraph" w:customStyle="1" w:styleId="xl97">
    <w:name w:val="xl97"/>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8">
    <w:name w:val="xl98"/>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9">
    <w:name w:val="xl9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100">
    <w:name w:val="xl100"/>
    <w:basedOn w:val="Normal"/>
    <w:pPr>
      <w:pBdr>
        <w:top w:val="single" w:sz="4" w:space="0" w:color="auto"/>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101">
    <w:name w:val="xl101"/>
    <w:basedOn w:val="Normal"/>
    <w:pPr>
      <w:pBdr>
        <w:left w:val="single" w:sz="8"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2">
    <w:name w:val="xl102"/>
    <w:basedOn w:val="Normal"/>
    <w:pPr>
      <w:pBdr>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103">
    <w:name w:val="xl103"/>
    <w:basedOn w:val="Normal"/>
    <w:pPr>
      <w:spacing w:before="100" w:beforeAutospacing="1" w:after="100" w:afterAutospacing="1"/>
      <w:jc w:val="right"/>
      <w:textAlignment w:val="top"/>
    </w:pPr>
    <w:rPr>
      <w:rFonts w:eastAsia="Arial Unicode MS" w:cs="Arial"/>
      <w:b/>
      <w:bCs/>
      <w:sz w:val="16"/>
      <w:szCs w:val="16"/>
    </w:rPr>
  </w:style>
  <w:style w:type="paragraph" w:customStyle="1" w:styleId="xl104">
    <w:name w:val="xl104"/>
    <w:basedOn w:val="Normal"/>
    <w:pPr>
      <w:spacing w:before="100" w:beforeAutospacing="1" w:after="100" w:afterAutospacing="1"/>
      <w:jc w:val="both"/>
      <w:textAlignment w:val="top"/>
    </w:pPr>
    <w:rPr>
      <w:rFonts w:eastAsia="Arial Unicode MS" w:cs="Arial"/>
      <w:b/>
      <w:bCs/>
      <w:sz w:val="16"/>
      <w:szCs w:val="16"/>
    </w:rPr>
  </w:style>
  <w:style w:type="paragraph" w:customStyle="1" w:styleId="xl105">
    <w:name w:val="xl105"/>
    <w:basedOn w:val="Normal"/>
    <w:pPr>
      <w:pBdr>
        <w:left w:val="single" w:sz="8" w:space="0" w:color="auto"/>
        <w:right w:val="single" w:sz="8" w:space="0" w:color="auto"/>
      </w:pBdr>
      <w:spacing w:before="100" w:beforeAutospacing="1" w:after="100" w:afterAutospacing="1"/>
      <w:textAlignment w:val="top"/>
    </w:pPr>
    <w:rPr>
      <w:rFonts w:eastAsia="Arial Unicode MS" w:cs="Arial"/>
      <w:b/>
      <w:bCs/>
      <w:sz w:val="16"/>
      <w:szCs w:val="16"/>
    </w:rPr>
  </w:style>
  <w:style w:type="paragraph" w:customStyle="1" w:styleId="xl106">
    <w:name w:val="xl106"/>
    <w:basedOn w:val="Normal"/>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7">
    <w:name w:val="xl107"/>
    <w:basedOn w:val="Normal"/>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8">
    <w:name w:val="xl108"/>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09">
    <w:name w:val="xl109"/>
    <w:basedOn w:val="Normal"/>
    <w:pPr>
      <w:pBdr>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1">
    <w:name w:val="xl111"/>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2">
    <w:name w:val="xl112"/>
    <w:basedOn w:val="Normal"/>
    <w:pPr>
      <w:pBdr>
        <w:top w:val="single" w:sz="4" w:space="0" w:color="auto"/>
        <w:left w:val="single" w:sz="4" w:space="0" w:color="auto"/>
        <w:bottom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font7">
    <w:name w:val="font7"/>
    <w:basedOn w:val="Normal"/>
    <w:pPr>
      <w:spacing w:before="100" w:beforeAutospacing="1" w:after="100" w:afterAutospacing="1"/>
    </w:pPr>
    <w:rPr>
      <w:rFonts w:eastAsia="Arial Unicode MS" w:cs="Arial"/>
      <w:sz w:val="16"/>
      <w:szCs w:val="16"/>
    </w:rPr>
  </w:style>
  <w:style w:type="paragraph" w:customStyle="1" w:styleId="xl24">
    <w:name w:val="xl24"/>
    <w:basedOn w:val="Normal"/>
    <w:pPr>
      <w:spacing w:before="100" w:beforeAutospacing="1" w:after="100" w:afterAutospacing="1"/>
      <w:textAlignment w:val="top"/>
    </w:pPr>
    <w:rPr>
      <w:rFonts w:eastAsia="Arial Unicode MS" w:cs="Arial"/>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37">
    <w:name w:val="xl37"/>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8">
    <w:name w:val="xl38"/>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0">
    <w:name w:val="xl40"/>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1">
    <w:name w:val="xl41"/>
    <w:basedOn w:val="Normal"/>
    <w:pPr>
      <w:spacing w:before="100" w:beforeAutospacing="1" w:after="100" w:afterAutospacing="1"/>
      <w:jc w:val="center"/>
      <w:textAlignment w:val="top"/>
    </w:pPr>
    <w:rPr>
      <w:rFonts w:eastAsia="Arial Unicode MS" w:cs="Arial"/>
      <w:szCs w:val="24"/>
    </w:rPr>
  </w:style>
  <w:style w:type="paragraph" w:customStyle="1" w:styleId="xl42">
    <w:name w:val="xl4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49">
    <w:name w:val="xl49"/>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0">
    <w:name w:val="xl50"/>
    <w:basedOn w:val="Normal"/>
    <w:pPr>
      <w:pBdr>
        <w:top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51">
    <w:name w:val="xl51"/>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4">
    <w:name w:val="xl54"/>
    <w:basedOn w:val="Normal"/>
    <w:pPr>
      <w:pBdr>
        <w:left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5">
    <w:name w:val="xl55"/>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rFonts w:eastAsia="Arial Unicode MS" w:cs="Arial"/>
      <w:b/>
      <w:bCs/>
      <w:szCs w:val="24"/>
    </w:rPr>
  </w:style>
  <w:style w:type="paragraph" w:customStyle="1" w:styleId="xl58">
    <w:name w:val="xl58"/>
    <w:basedOn w:val="Normal"/>
    <w:pPr>
      <w:spacing w:before="100" w:beforeAutospacing="1" w:after="100" w:afterAutospacing="1"/>
      <w:jc w:val="center"/>
      <w:textAlignment w:val="top"/>
    </w:pPr>
    <w:rPr>
      <w:rFonts w:eastAsia="Arial Unicode MS" w:cs="Arial"/>
      <w:b/>
      <w:bCs/>
      <w:szCs w:val="24"/>
    </w:rPr>
  </w:style>
  <w:style w:type="paragraph" w:customStyle="1" w:styleId="xl59">
    <w:name w:val="xl59"/>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1">
    <w:name w:val="xl61"/>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7">
    <w:name w:val="xl67"/>
    <w:basedOn w:val="Normal"/>
    <w:pPr>
      <w:spacing w:before="100" w:beforeAutospacing="1" w:after="100" w:afterAutospacing="1"/>
      <w:jc w:val="center"/>
    </w:pPr>
    <w:rPr>
      <w:rFonts w:eastAsia="Arial Unicode MS" w:cs="Arial"/>
      <w:b/>
      <w:bCs/>
      <w:szCs w:val="24"/>
    </w:rPr>
  </w:style>
  <w:style w:type="paragraph" w:customStyle="1" w:styleId="xl68">
    <w:name w:val="xl68"/>
    <w:basedOn w:val="Normal"/>
    <w:pPr>
      <w:pBdr>
        <w:top w:val="single" w:sz="4" w:space="0" w:color="auto"/>
        <w:left w:val="single" w:sz="4" w:space="0" w:color="auto"/>
      </w:pBdr>
      <w:spacing w:before="100" w:beforeAutospacing="1" w:after="100" w:afterAutospacing="1"/>
    </w:pPr>
    <w:rPr>
      <w:rFonts w:eastAsia="Arial Unicode MS" w:cs="Arial"/>
      <w:b/>
      <w:bCs/>
      <w:sz w:val="32"/>
      <w:szCs w:val="32"/>
    </w:rPr>
  </w:style>
  <w:style w:type="paragraph" w:customStyle="1" w:styleId="xl69">
    <w:name w:val="xl69"/>
    <w:basedOn w:val="Normal"/>
    <w:pPr>
      <w:pBdr>
        <w:top w:val="single" w:sz="4" w:space="0" w:color="auto"/>
      </w:pBdr>
      <w:spacing w:before="100" w:beforeAutospacing="1" w:after="100" w:afterAutospacing="1"/>
      <w:jc w:val="center"/>
    </w:pPr>
    <w:rPr>
      <w:rFonts w:eastAsia="Arial Unicode MS" w:cs="Arial"/>
      <w:b/>
      <w:bCs/>
      <w:szCs w:val="24"/>
    </w:rPr>
  </w:style>
  <w:style w:type="paragraph" w:customStyle="1" w:styleId="xl70">
    <w:name w:val="xl70"/>
    <w:basedOn w:val="Normal"/>
    <w:pPr>
      <w:pBdr>
        <w:left w:val="single" w:sz="4" w:space="0" w:color="auto"/>
      </w:pBdr>
      <w:spacing w:before="100" w:beforeAutospacing="1" w:after="100" w:afterAutospacing="1"/>
      <w:jc w:val="center"/>
      <w:textAlignment w:val="center"/>
    </w:pPr>
    <w:rPr>
      <w:rFonts w:eastAsia="Arial Unicode MS" w:cs="Arial"/>
      <w:b/>
      <w:bCs/>
      <w:sz w:val="28"/>
      <w:szCs w:val="28"/>
    </w:rPr>
  </w:style>
  <w:style w:type="paragraph" w:customStyle="1" w:styleId="xl71">
    <w:name w:val="xl71"/>
    <w:basedOn w:val="Normal"/>
    <w:pPr>
      <w:spacing w:before="100" w:beforeAutospacing="1" w:after="100" w:afterAutospacing="1"/>
      <w:jc w:val="center"/>
      <w:textAlignment w:val="top"/>
    </w:pPr>
    <w:rPr>
      <w:rFonts w:eastAsia="Arial Unicode MS" w:cs="Arial"/>
      <w:b/>
      <w:bCs/>
      <w:szCs w:val="24"/>
    </w:rPr>
  </w:style>
  <w:style w:type="paragraph" w:customStyle="1" w:styleId="xl72">
    <w:name w:val="xl72"/>
    <w:basedOn w:val="Normal"/>
    <w:pPr>
      <w:spacing w:before="100" w:beforeAutospacing="1" w:after="100" w:afterAutospacing="1"/>
      <w:jc w:val="center"/>
    </w:pPr>
    <w:rPr>
      <w:rFonts w:eastAsia="Arial Unicode MS" w:cs="Arial"/>
      <w:szCs w:val="24"/>
    </w:rPr>
  </w:style>
  <w:style w:type="paragraph" w:customStyle="1" w:styleId="xl62">
    <w:name w:val="xl62"/>
    <w:basedOn w:val="Normal"/>
    <w:pPr>
      <w:spacing w:before="100" w:beforeAutospacing="1" w:after="100" w:afterAutospacing="1"/>
      <w:jc w:val="center"/>
      <w:textAlignment w:val="top"/>
    </w:pPr>
    <w:rPr>
      <w:rFonts w:eastAsia="Arial Unicode MS" w:cs="Arial"/>
      <w:b/>
      <w:bCs/>
      <w:szCs w:val="24"/>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4">
    <w:name w:val="xl64"/>
    <w:basedOn w:val="Normal"/>
    <w:pPr>
      <w:spacing w:before="100" w:beforeAutospacing="1" w:after="100" w:afterAutospacing="1"/>
      <w:jc w:val="center"/>
      <w:textAlignment w:val="top"/>
    </w:pPr>
    <w:rPr>
      <w:rFonts w:eastAsia="Arial Unicode MS" w:cs="Arial"/>
      <w:szCs w:val="24"/>
    </w:rPr>
  </w:style>
  <w:style w:type="paragraph" w:customStyle="1" w:styleId="xl65">
    <w:name w:val="xl65"/>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6">
    <w:name w:val="xl66"/>
    <w:basedOn w:val="Normal"/>
    <w:pPr>
      <w:pBdr>
        <w:left w:val="single" w:sz="4" w:space="0" w:color="auto"/>
        <w:right w:val="single" w:sz="4" w:space="0" w:color="auto"/>
      </w:pBdr>
      <w:spacing w:before="100" w:beforeAutospacing="1" w:after="100" w:afterAutospacing="1"/>
      <w:textAlignment w:val="top"/>
    </w:pPr>
    <w:rPr>
      <w:rFonts w:eastAsia="Arial Unicode MS" w:cs="Arial"/>
      <w:b/>
      <w:bCs/>
      <w:szCs w:val="24"/>
    </w:rPr>
  </w:style>
  <w:style w:type="character" w:styleId="FollowedHyperlink">
    <w:name w:val="FollowedHyperlink"/>
    <w:rPr>
      <w:rFonts w:ascii="Arial" w:hAnsi="Arial" w:cs="Arial"/>
      <w:color w:val="800080"/>
      <w:sz w:val="24"/>
      <w:u w:val="single"/>
      <w:lang w:val="en-GB" w:eastAsia="en-US" w:bidi="ar-SA"/>
    </w:rPr>
  </w:style>
  <w:style w:type="character" w:customStyle="1" w:styleId="WW8Num5z0">
    <w:name w:val="WW8Num5z0"/>
    <w:rPr>
      <w:rFonts w:ascii="Wingdings" w:hAnsi="Wingdings"/>
    </w:rPr>
  </w:style>
  <w:style w:type="character" w:customStyle="1" w:styleId="WW8Num4z0">
    <w:name w:val="WW8Num4z0"/>
    <w:rPr>
      <w:rFonts w:ascii="Symbol" w:hAnsi="Symbol"/>
    </w:rPr>
  </w:style>
  <w:style w:type="paragraph" w:styleId="List">
    <w:name w:val="List"/>
    <w:basedOn w:val="BodyText"/>
    <w:pPr>
      <w:suppressAutoHyphens/>
      <w:spacing w:after="120"/>
    </w:pPr>
    <w:rPr>
      <w:rFonts w:cs="Tahoma"/>
      <w:i w:val="0"/>
      <w:iCs w:val="0"/>
      <w:lang w:eastAsia="ar-SA"/>
    </w:rPr>
  </w:style>
  <w:style w:type="paragraph" w:styleId="Title">
    <w:name w:val="Title"/>
    <w:basedOn w:val="Normal"/>
    <w:qFormat/>
    <w:pPr>
      <w:suppressAutoHyphens/>
      <w:jc w:val="center"/>
    </w:pPr>
    <w:rPr>
      <w:rFonts w:cs="Arial"/>
      <w:b/>
      <w:sz w:val="28"/>
      <w:szCs w:val="28"/>
      <w:u w:val="single"/>
      <w:lang w:eastAsia="ar-SA"/>
    </w:rPr>
  </w:style>
  <w:style w:type="character" w:customStyle="1" w:styleId="WW8Num1z0">
    <w:name w:val="WW8Num1z0"/>
    <w:rPr>
      <w:rFonts w:ascii="Symbol" w:hAnsi="Symbol"/>
    </w:rPr>
  </w:style>
  <w:style w:type="paragraph" w:styleId="PlainText">
    <w:name w:val="Plain Text"/>
    <w:basedOn w:val="Normal"/>
    <w:link w:val="PlainTextChar"/>
    <w:semiHidden/>
    <w:rsid w:val="00464EC7"/>
    <w:rPr>
      <w:sz w:val="20"/>
      <w:szCs w:val="21"/>
      <w:lang w:eastAsia="en-GB"/>
    </w:rPr>
  </w:style>
  <w:style w:type="table" w:styleId="TableGrid">
    <w:name w:val="Table Grid"/>
    <w:basedOn w:val="TableNormal"/>
    <w:rsid w:val="00B40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C7E13"/>
    <w:rPr>
      <w:rFonts w:ascii="Arial" w:hAnsi="Arial"/>
      <w:sz w:val="24"/>
      <w:lang w:val="en-GB" w:eastAsia="en-US" w:bidi="ar-SA"/>
    </w:rPr>
  </w:style>
  <w:style w:type="paragraph" w:customStyle="1" w:styleId="1">
    <w:name w:val="1"/>
    <w:basedOn w:val="Normal"/>
    <w:locked/>
    <w:rsid w:val="00ED55EF"/>
    <w:pPr>
      <w:spacing w:after="160" w:line="240" w:lineRule="exact"/>
    </w:pPr>
    <w:rPr>
      <w:rFonts w:cs="Arial"/>
    </w:rPr>
  </w:style>
  <w:style w:type="paragraph" w:customStyle="1" w:styleId="CharCharCharChar2">
    <w:name w:val="Char Char Char Char2"/>
    <w:basedOn w:val="Normal"/>
    <w:locked/>
    <w:rsid w:val="000A55D4"/>
    <w:pPr>
      <w:spacing w:after="160" w:line="240" w:lineRule="exact"/>
    </w:pPr>
    <w:rPr>
      <w:rFonts w:ascii="Verdana" w:eastAsia="MS ??" w:hAnsi="Verdana" w:cs="Verdana"/>
      <w:sz w:val="20"/>
      <w:lang w:val="en-US"/>
    </w:rPr>
  </w:style>
  <w:style w:type="character" w:customStyle="1" w:styleId="CommentTextChar">
    <w:name w:val="Comment Text Char"/>
    <w:link w:val="CommentText"/>
    <w:uiPriority w:val="99"/>
    <w:semiHidden/>
    <w:rsid w:val="00033CFC"/>
    <w:rPr>
      <w:rFonts w:ascii="Arial" w:hAnsi="Arial"/>
      <w:lang w:eastAsia="en-US"/>
    </w:rPr>
  </w:style>
  <w:style w:type="paragraph" w:styleId="ListParagraph">
    <w:name w:val="List Paragraph"/>
    <w:basedOn w:val="Normal"/>
    <w:uiPriority w:val="34"/>
    <w:qFormat/>
    <w:rsid w:val="009870D0"/>
    <w:pPr>
      <w:ind w:left="720"/>
      <w:contextualSpacing/>
    </w:pPr>
  </w:style>
  <w:style w:type="paragraph" w:customStyle="1" w:styleId="CharCharCharChar">
    <w:name w:val="Char Char Char Char"/>
    <w:basedOn w:val="Normal"/>
    <w:locked/>
    <w:rsid w:val="00AC7BFC"/>
    <w:pPr>
      <w:spacing w:after="160" w:line="240" w:lineRule="exact"/>
    </w:pPr>
    <w:rPr>
      <w:rFonts w:ascii="Verdana" w:hAnsi="Verdana"/>
      <w:sz w:val="20"/>
      <w:lang w:val="en-US"/>
    </w:rPr>
  </w:style>
  <w:style w:type="paragraph" w:styleId="Revision">
    <w:name w:val="Revision"/>
    <w:hidden/>
    <w:uiPriority w:val="99"/>
    <w:semiHidden/>
    <w:rsid w:val="00554CAB"/>
    <w:rPr>
      <w:rFonts w:ascii="Arial" w:hAnsi="Arial"/>
      <w:sz w:val="24"/>
      <w:lang w:eastAsia="en-US"/>
    </w:rPr>
  </w:style>
  <w:style w:type="paragraph" w:customStyle="1" w:styleId="CharCharCharChar3">
    <w:name w:val="Char Char Char Char3"/>
    <w:basedOn w:val="Normal"/>
    <w:locked/>
    <w:rsid w:val="00484862"/>
    <w:pPr>
      <w:spacing w:after="160" w:line="240" w:lineRule="exact"/>
    </w:pPr>
    <w:rPr>
      <w:rFonts w:ascii="Verdana" w:hAnsi="Verdana"/>
      <w:sz w:val="20"/>
      <w:lang w:val="en-US"/>
    </w:rPr>
  </w:style>
  <w:style w:type="paragraph" w:customStyle="1" w:styleId="CharCharCharChar1">
    <w:name w:val="Char Char Char Char1"/>
    <w:basedOn w:val="Normal"/>
    <w:locked/>
    <w:rsid w:val="00591F00"/>
    <w:pPr>
      <w:spacing w:after="160" w:line="240" w:lineRule="exact"/>
    </w:pPr>
    <w:rPr>
      <w:rFonts w:ascii="Verdana" w:hAnsi="Verdana"/>
      <w:sz w:val="20"/>
      <w:lang w:val="en-US"/>
    </w:rPr>
  </w:style>
  <w:style w:type="character" w:styleId="LineNumber">
    <w:name w:val="line number"/>
    <w:basedOn w:val="DefaultParagraphFont"/>
    <w:rsid w:val="00D267E9"/>
  </w:style>
  <w:style w:type="numbering" w:customStyle="1" w:styleId="Style2">
    <w:name w:val="Style2"/>
    <w:uiPriority w:val="99"/>
    <w:rsid w:val="00B63933"/>
    <w:pPr>
      <w:numPr>
        <w:numId w:val="10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35">
      <w:bodyDiv w:val="1"/>
      <w:marLeft w:val="0"/>
      <w:marRight w:val="0"/>
      <w:marTop w:val="0"/>
      <w:marBottom w:val="0"/>
      <w:divBdr>
        <w:top w:val="none" w:sz="0" w:space="0" w:color="auto"/>
        <w:left w:val="none" w:sz="0" w:space="0" w:color="auto"/>
        <w:bottom w:val="none" w:sz="0" w:space="0" w:color="auto"/>
        <w:right w:val="none" w:sz="0" w:space="0" w:color="auto"/>
      </w:divBdr>
    </w:div>
    <w:div w:id="19166907">
      <w:bodyDiv w:val="1"/>
      <w:marLeft w:val="0"/>
      <w:marRight w:val="0"/>
      <w:marTop w:val="0"/>
      <w:marBottom w:val="0"/>
      <w:divBdr>
        <w:top w:val="none" w:sz="0" w:space="0" w:color="auto"/>
        <w:left w:val="none" w:sz="0" w:space="0" w:color="auto"/>
        <w:bottom w:val="none" w:sz="0" w:space="0" w:color="auto"/>
        <w:right w:val="none" w:sz="0" w:space="0" w:color="auto"/>
      </w:divBdr>
    </w:div>
    <w:div w:id="30999218">
      <w:bodyDiv w:val="1"/>
      <w:marLeft w:val="0"/>
      <w:marRight w:val="0"/>
      <w:marTop w:val="0"/>
      <w:marBottom w:val="0"/>
      <w:divBdr>
        <w:top w:val="none" w:sz="0" w:space="0" w:color="auto"/>
        <w:left w:val="none" w:sz="0" w:space="0" w:color="auto"/>
        <w:bottom w:val="none" w:sz="0" w:space="0" w:color="auto"/>
        <w:right w:val="none" w:sz="0" w:space="0" w:color="auto"/>
      </w:divBdr>
    </w:div>
    <w:div w:id="41054459">
      <w:bodyDiv w:val="1"/>
      <w:marLeft w:val="0"/>
      <w:marRight w:val="0"/>
      <w:marTop w:val="0"/>
      <w:marBottom w:val="0"/>
      <w:divBdr>
        <w:top w:val="none" w:sz="0" w:space="0" w:color="auto"/>
        <w:left w:val="none" w:sz="0" w:space="0" w:color="auto"/>
        <w:bottom w:val="none" w:sz="0" w:space="0" w:color="auto"/>
        <w:right w:val="none" w:sz="0" w:space="0" w:color="auto"/>
      </w:divBdr>
    </w:div>
    <w:div w:id="86125114">
      <w:bodyDiv w:val="1"/>
      <w:marLeft w:val="0"/>
      <w:marRight w:val="0"/>
      <w:marTop w:val="0"/>
      <w:marBottom w:val="0"/>
      <w:divBdr>
        <w:top w:val="none" w:sz="0" w:space="0" w:color="auto"/>
        <w:left w:val="none" w:sz="0" w:space="0" w:color="auto"/>
        <w:bottom w:val="none" w:sz="0" w:space="0" w:color="auto"/>
        <w:right w:val="none" w:sz="0" w:space="0" w:color="auto"/>
      </w:divBdr>
    </w:div>
    <w:div w:id="117843390">
      <w:bodyDiv w:val="1"/>
      <w:marLeft w:val="0"/>
      <w:marRight w:val="0"/>
      <w:marTop w:val="0"/>
      <w:marBottom w:val="0"/>
      <w:divBdr>
        <w:top w:val="none" w:sz="0" w:space="0" w:color="auto"/>
        <w:left w:val="none" w:sz="0" w:space="0" w:color="auto"/>
        <w:bottom w:val="none" w:sz="0" w:space="0" w:color="auto"/>
        <w:right w:val="none" w:sz="0" w:space="0" w:color="auto"/>
      </w:divBdr>
    </w:div>
    <w:div w:id="187530745">
      <w:bodyDiv w:val="1"/>
      <w:marLeft w:val="0"/>
      <w:marRight w:val="0"/>
      <w:marTop w:val="0"/>
      <w:marBottom w:val="0"/>
      <w:divBdr>
        <w:top w:val="none" w:sz="0" w:space="0" w:color="auto"/>
        <w:left w:val="none" w:sz="0" w:space="0" w:color="auto"/>
        <w:bottom w:val="none" w:sz="0" w:space="0" w:color="auto"/>
        <w:right w:val="none" w:sz="0" w:space="0" w:color="auto"/>
      </w:divBdr>
    </w:div>
    <w:div w:id="210263273">
      <w:bodyDiv w:val="1"/>
      <w:marLeft w:val="0"/>
      <w:marRight w:val="0"/>
      <w:marTop w:val="0"/>
      <w:marBottom w:val="0"/>
      <w:divBdr>
        <w:top w:val="none" w:sz="0" w:space="0" w:color="auto"/>
        <w:left w:val="none" w:sz="0" w:space="0" w:color="auto"/>
        <w:bottom w:val="none" w:sz="0" w:space="0" w:color="auto"/>
        <w:right w:val="none" w:sz="0" w:space="0" w:color="auto"/>
      </w:divBdr>
    </w:div>
    <w:div w:id="223807317">
      <w:bodyDiv w:val="1"/>
      <w:marLeft w:val="0"/>
      <w:marRight w:val="0"/>
      <w:marTop w:val="0"/>
      <w:marBottom w:val="0"/>
      <w:divBdr>
        <w:top w:val="none" w:sz="0" w:space="0" w:color="auto"/>
        <w:left w:val="none" w:sz="0" w:space="0" w:color="auto"/>
        <w:bottom w:val="none" w:sz="0" w:space="0" w:color="auto"/>
        <w:right w:val="none" w:sz="0" w:space="0" w:color="auto"/>
      </w:divBdr>
    </w:div>
    <w:div w:id="229316418">
      <w:bodyDiv w:val="1"/>
      <w:marLeft w:val="0"/>
      <w:marRight w:val="0"/>
      <w:marTop w:val="0"/>
      <w:marBottom w:val="0"/>
      <w:divBdr>
        <w:top w:val="none" w:sz="0" w:space="0" w:color="auto"/>
        <w:left w:val="none" w:sz="0" w:space="0" w:color="auto"/>
        <w:bottom w:val="none" w:sz="0" w:space="0" w:color="auto"/>
        <w:right w:val="none" w:sz="0" w:space="0" w:color="auto"/>
      </w:divBdr>
    </w:div>
    <w:div w:id="232161101">
      <w:bodyDiv w:val="1"/>
      <w:marLeft w:val="0"/>
      <w:marRight w:val="0"/>
      <w:marTop w:val="0"/>
      <w:marBottom w:val="0"/>
      <w:divBdr>
        <w:top w:val="none" w:sz="0" w:space="0" w:color="auto"/>
        <w:left w:val="none" w:sz="0" w:space="0" w:color="auto"/>
        <w:bottom w:val="none" w:sz="0" w:space="0" w:color="auto"/>
        <w:right w:val="none" w:sz="0" w:space="0" w:color="auto"/>
      </w:divBdr>
    </w:div>
    <w:div w:id="241529603">
      <w:bodyDiv w:val="1"/>
      <w:marLeft w:val="0"/>
      <w:marRight w:val="0"/>
      <w:marTop w:val="0"/>
      <w:marBottom w:val="0"/>
      <w:divBdr>
        <w:top w:val="none" w:sz="0" w:space="0" w:color="auto"/>
        <w:left w:val="none" w:sz="0" w:space="0" w:color="auto"/>
        <w:bottom w:val="none" w:sz="0" w:space="0" w:color="auto"/>
        <w:right w:val="none" w:sz="0" w:space="0" w:color="auto"/>
      </w:divBdr>
    </w:div>
    <w:div w:id="280066281">
      <w:bodyDiv w:val="1"/>
      <w:marLeft w:val="0"/>
      <w:marRight w:val="0"/>
      <w:marTop w:val="0"/>
      <w:marBottom w:val="0"/>
      <w:divBdr>
        <w:top w:val="none" w:sz="0" w:space="0" w:color="auto"/>
        <w:left w:val="none" w:sz="0" w:space="0" w:color="auto"/>
        <w:bottom w:val="none" w:sz="0" w:space="0" w:color="auto"/>
        <w:right w:val="none" w:sz="0" w:space="0" w:color="auto"/>
      </w:divBdr>
    </w:div>
    <w:div w:id="287011045">
      <w:bodyDiv w:val="1"/>
      <w:marLeft w:val="0"/>
      <w:marRight w:val="0"/>
      <w:marTop w:val="0"/>
      <w:marBottom w:val="0"/>
      <w:divBdr>
        <w:top w:val="none" w:sz="0" w:space="0" w:color="auto"/>
        <w:left w:val="none" w:sz="0" w:space="0" w:color="auto"/>
        <w:bottom w:val="none" w:sz="0" w:space="0" w:color="auto"/>
        <w:right w:val="none" w:sz="0" w:space="0" w:color="auto"/>
      </w:divBdr>
    </w:div>
    <w:div w:id="303895745">
      <w:bodyDiv w:val="1"/>
      <w:marLeft w:val="0"/>
      <w:marRight w:val="0"/>
      <w:marTop w:val="0"/>
      <w:marBottom w:val="0"/>
      <w:divBdr>
        <w:top w:val="none" w:sz="0" w:space="0" w:color="auto"/>
        <w:left w:val="none" w:sz="0" w:space="0" w:color="auto"/>
        <w:bottom w:val="none" w:sz="0" w:space="0" w:color="auto"/>
        <w:right w:val="none" w:sz="0" w:space="0" w:color="auto"/>
      </w:divBdr>
    </w:div>
    <w:div w:id="310911759">
      <w:bodyDiv w:val="1"/>
      <w:marLeft w:val="0"/>
      <w:marRight w:val="0"/>
      <w:marTop w:val="0"/>
      <w:marBottom w:val="0"/>
      <w:divBdr>
        <w:top w:val="none" w:sz="0" w:space="0" w:color="auto"/>
        <w:left w:val="none" w:sz="0" w:space="0" w:color="auto"/>
        <w:bottom w:val="none" w:sz="0" w:space="0" w:color="auto"/>
        <w:right w:val="none" w:sz="0" w:space="0" w:color="auto"/>
      </w:divBdr>
    </w:div>
    <w:div w:id="348988610">
      <w:bodyDiv w:val="1"/>
      <w:marLeft w:val="0"/>
      <w:marRight w:val="0"/>
      <w:marTop w:val="0"/>
      <w:marBottom w:val="0"/>
      <w:divBdr>
        <w:top w:val="none" w:sz="0" w:space="0" w:color="auto"/>
        <w:left w:val="none" w:sz="0" w:space="0" w:color="auto"/>
        <w:bottom w:val="none" w:sz="0" w:space="0" w:color="auto"/>
        <w:right w:val="none" w:sz="0" w:space="0" w:color="auto"/>
      </w:divBdr>
    </w:div>
    <w:div w:id="350879849">
      <w:bodyDiv w:val="1"/>
      <w:marLeft w:val="0"/>
      <w:marRight w:val="0"/>
      <w:marTop w:val="0"/>
      <w:marBottom w:val="0"/>
      <w:divBdr>
        <w:top w:val="none" w:sz="0" w:space="0" w:color="auto"/>
        <w:left w:val="none" w:sz="0" w:space="0" w:color="auto"/>
        <w:bottom w:val="none" w:sz="0" w:space="0" w:color="auto"/>
        <w:right w:val="none" w:sz="0" w:space="0" w:color="auto"/>
      </w:divBdr>
    </w:div>
    <w:div w:id="356587582">
      <w:bodyDiv w:val="1"/>
      <w:marLeft w:val="0"/>
      <w:marRight w:val="0"/>
      <w:marTop w:val="0"/>
      <w:marBottom w:val="0"/>
      <w:divBdr>
        <w:top w:val="none" w:sz="0" w:space="0" w:color="auto"/>
        <w:left w:val="none" w:sz="0" w:space="0" w:color="auto"/>
        <w:bottom w:val="none" w:sz="0" w:space="0" w:color="auto"/>
        <w:right w:val="none" w:sz="0" w:space="0" w:color="auto"/>
      </w:divBdr>
    </w:div>
    <w:div w:id="375197612">
      <w:bodyDiv w:val="1"/>
      <w:marLeft w:val="0"/>
      <w:marRight w:val="0"/>
      <w:marTop w:val="0"/>
      <w:marBottom w:val="0"/>
      <w:divBdr>
        <w:top w:val="none" w:sz="0" w:space="0" w:color="auto"/>
        <w:left w:val="none" w:sz="0" w:space="0" w:color="auto"/>
        <w:bottom w:val="none" w:sz="0" w:space="0" w:color="auto"/>
        <w:right w:val="none" w:sz="0" w:space="0" w:color="auto"/>
      </w:divBdr>
    </w:div>
    <w:div w:id="394357503">
      <w:bodyDiv w:val="1"/>
      <w:marLeft w:val="0"/>
      <w:marRight w:val="0"/>
      <w:marTop w:val="0"/>
      <w:marBottom w:val="0"/>
      <w:divBdr>
        <w:top w:val="none" w:sz="0" w:space="0" w:color="auto"/>
        <w:left w:val="none" w:sz="0" w:space="0" w:color="auto"/>
        <w:bottom w:val="none" w:sz="0" w:space="0" w:color="auto"/>
        <w:right w:val="none" w:sz="0" w:space="0" w:color="auto"/>
      </w:divBdr>
    </w:div>
    <w:div w:id="417749915">
      <w:bodyDiv w:val="1"/>
      <w:marLeft w:val="0"/>
      <w:marRight w:val="0"/>
      <w:marTop w:val="0"/>
      <w:marBottom w:val="0"/>
      <w:divBdr>
        <w:top w:val="none" w:sz="0" w:space="0" w:color="auto"/>
        <w:left w:val="none" w:sz="0" w:space="0" w:color="auto"/>
        <w:bottom w:val="none" w:sz="0" w:space="0" w:color="auto"/>
        <w:right w:val="none" w:sz="0" w:space="0" w:color="auto"/>
      </w:divBdr>
    </w:div>
    <w:div w:id="442072616">
      <w:bodyDiv w:val="1"/>
      <w:marLeft w:val="0"/>
      <w:marRight w:val="0"/>
      <w:marTop w:val="0"/>
      <w:marBottom w:val="0"/>
      <w:divBdr>
        <w:top w:val="none" w:sz="0" w:space="0" w:color="auto"/>
        <w:left w:val="none" w:sz="0" w:space="0" w:color="auto"/>
        <w:bottom w:val="none" w:sz="0" w:space="0" w:color="auto"/>
        <w:right w:val="none" w:sz="0" w:space="0" w:color="auto"/>
      </w:divBdr>
    </w:div>
    <w:div w:id="451675438">
      <w:bodyDiv w:val="1"/>
      <w:marLeft w:val="0"/>
      <w:marRight w:val="0"/>
      <w:marTop w:val="0"/>
      <w:marBottom w:val="0"/>
      <w:divBdr>
        <w:top w:val="none" w:sz="0" w:space="0" w:color="auto"/>
        <w:left w:val="none" w:sz="0" w:space="0" w:color="auto"/>
        <w:bottom w:val="none" w:sz="0" w:space="0" w:color="auto"/>
        <w:right w:val="none" w:sz="0" w:space="0" w:color="auto"/>
      </w:divBdr>
    </w:div>
    <w:div w:id="452360426">
      <w:bodyDiv w:val="1"/>
      <w:marLeft w:val="0"/>
      <w:marRight w:val="0"/>
      <w:marTop w:val="0"/>
      <w:marBottom w:val="0"/>
      <w:divBdr>
        <w:top w:val="none" w:sz="0" w:space="0" w:color="auto"/>
        <w:left w:val="none" w:sz="0" w:space="0" w:color="auto"/>
        <w:bottom w:val="none" w:sz="0" w:space="0" w:color="auto"/>
        <w:right w:val="none" w:sz="0" w:space="0" w:color="auto"/>
      </w:divBdr>
    </w:div>
    <w:div w:id="544759109">
      <w:bodyDiv w:val="1"/>
      <w:marLeft w:val="0"/>
      <w:marRight w:val="0"/>
      <w:marTop w:val="0"/>
      <w:marBottom w:val="0"/>
      <w:divBdr>
        <w:top w:val="none" w:sz="0" w:space="0" w:color="auto"/>
        <w:left w:val="none" w:sz="0" w:space="0" w:color="auto"/>
        <w:bottom w:val="none" w:sz="0" w:space="0" w:color="auto"/>
        <w:right w:val="none" w:sz="0" w:space="0" w:color="auto"/>
      </w:divBdr>
    </w:div>
    <w:div w:id="562178319">
      <w:bodyDiv w:val="1"/>
      <w:marLeft w:val="0"/>
      <w:marRight w:val="0"/>
      <w:marTop w:val="0"/>
      <w:marBottom w:val="0"/>
      <w:divBdr>
        <w:top w:val="none" w:sz="0" w:space="0" w:color="auto"/>
        <w:left w:val="none" w:sz="0" w:space="0" w:color="auto"/>
        <w:bottom w:val="none" w:sz="0" w:space="0" w:color="auto"/>
        <w:right w:val="none" w:sz="0" w:space="0" w:color="auto"/>
      </w:divBdr>
    </w:div>
    <w:div w:id="587540710">
      <w:bodyDiv w:val="1"/>
      <w:marLeft w:val="0"/>
      <w:marRight w:val="0"/>
      <w:marTop w:val="0"/>
      <w:marBottom w:val="0"/>
      <w:divBdr>
        <w:top w:val="none" w:sz="0" w:space="0" w:color="auto"/>
        <w:left w:val="none" w:sz="0" w:space="0" w:color="auto"/>
        <w:bottom w:val="none" w:sz="0" w:space="0" w:color="auto"/>
        <w:right w:val="none" w:sz="0" w:space="0" w:color="auto"/>
      </w:divBdr>
    </w:div>
    <w:div w:id="594284968">
      <w:bodyDiv w:val="1"/>
      <w:marLeft w:val="0"/>
      <w:marRight w:val="0"/>
      <w:marTop w:val="0"/>
      <w:marBottom w:val="0"/>
      <w:divBdr>
        <w:top w:val="none" w:sz="0" w:space="0" w:color="auto"/>
        <w:left w:val="none" w:sz="0" w:space="0" w:color="auto"/>
        <w:bottom w:val="none" w:sz="0" w:space="0" w:color="auto"/>
        <w:right w:val="none" w:sz="0" w:space="0" w:color="auto"/>
      </w:divBdr>
    </w:div>
    <w:div w:id="623392784">
      <w:bodyDiv w:val="1"/>
      <w:marLeft w:val="0"/>
      <w:marRight w:val="0"/>
      <w:marTop w:val="0"/>
      <w:marBottom w:val="0"/>
      <w:divBdr>
        <w:top w:val="none" w:sz="0" w:space="0" w:color="auto"/>
        <w:left w:val="none" w:sz="0" w:space="0" w:color="auto"/>
        <w:bottom w:val="none" w:sz="0" w:space="0" w:color="auto"/>
        <w:right w:val="none" w:sz="0" w:space="0" w:color="auto"/>
      </w:divBdr>
    </w:div>
    <w:div w:id="623586074">
      <w:bodyDiv w:val="1"/>
      <w:marLeft w:val="0"/>
      <w:marRight w:val="0"/>
      <w:marTop w:val="0"/>
      <w:marBottom w:val="0"/>
      <w:divBdr>
        <w:top w:val="none" w:sz="0" w:space="0" w:color="auto"/>
        <w:left w:val="none" w:sz="0" w:space="0" w:color="auto"/>
        <w:bottom w:val="none" w:sz="0" w:space="0" w:color="auto"/>
        <w:right w:val="none" w:sz="0" w:space="0" w:color="auto"/>
      </w:divBdr>
    </w:div>
    <w:div w:id="628709426">
      <w:bodyDiv w:val="1"/>
      <w:marLeft w:val="0"/>
      <w:marRight w:val="0"/>
      <w:marTop w:val="0"/>
      <w:marBottom w:val="0"/>
      <w:divBdr>
        <w:top w:val="none" w:sz="0" w:space="0" w:color="auto"/>
        <w:left w:val="none" w:sz="0" w:space="0" w:color="auto"/>
        <w:bottom w:val="none" w:sz="0" w:space="0" w:color="auto"/>
        <w:right w:val="none" w:sz="0" w:space="0" w:color="auto"/>
      </w:divBdr>
    </w:div>
    <w:div w:id="658509534">
      <w:bodyDiv w:val="1"/>
      <w:marLeft w:val="0"/>
      <w:marRight w:val="0"/>
      <w:marTop w:val="0"/>
      <w:marBottom w:val="0"/>
      <w:divBdr>
        <w:top w:val="none" w:sz="0" w:space="0" w:color="auto"/>
        <w:left w:val="none" w:sz="0" w:space="0" w:color="auto"/>
        <w:bottom w:val="none" w:sz="0" w:space="0" w:color="auto"/>
        <w:right w:val="none" w:sz="0" w:space="0" w:color="auto"/>
      </w:divBdr>
    </w:div>
    <w:div w:id="675421216">
      <w:bodyDiv w:val="1"/>
      <w:marLeft w:val="0"/>
      <w:marRight w:val="0"/>
      <w:marTop w:val="0"/>
      <w:marBottom w:val="0"/>
      <w:divBdr>
        <w:top w:val="none" w:sz="0" w:space="0" w:color="auto"/>
        <w:left w:val="none" w:sz="0" w:space="0" w:color="auto"/>
        <w:bottom w:val="none" w:sz="0" w:space="0" w:color="auto"/>
        <w:right w:val="none" w:sz="0" w:space="0" w:color="auto"/>
      </w:divBdr>
    </w:div>
    <w:div w:id="684669562">
      <w:bodyDiv w:val="1"/>
      <w:marLeft w:val="0"/>
      <w:marRight w:val="0"/>
      <w:marTop w:val="0"/>
      <w:marBottom w:val="0"/>
      <w:divBdr>
        <w:top w:val="none" w:sz="0" w:space="0" w:color="auto"/>
        <w:left w:val="none" w:sz="0" w:space="0" w:color="auto"/>
        <w:bottom w:val="none" w:sz="0" w:space="0" w:color="auto"/>
        <w:right w:val="none" w:sz="0" w:space="0" w:color="auto"/>
      </w:divBdr>
    </w:div>
    <w:div w:id="762646384">
      <w:bodyDiv w:val="1"/>
      <w:marLeft w:val="0"/>
      <w:marRight w:val="0"/>
      <w:marTop w:val="0"/>
      <w:marBottom w:val="0"/>
      <w:divBdr>
        <w:top w:val="none" w:sz="0" w:space="0" w:color="auto"/>
        <w:left w:val="none" w:sz="0" w:space="0" w:color="auto"/>
        <w:bottom w:val="none" w:sz="0" w:space="0" w:color="auto"/>
        <w:right w:val="none" w:sz="0" w:space="0" w:color="auto"/>
      </w:divBdr>
    </w:div>
    <w:div w:id="775903996">
      <w:bodyDiv w:val="1"/>
      <w:marLeft w:val="0"/>
      <w:marRight w:val="0"/>
      <w:marTop w:val="0"/>
      <w:marBottom w:val="0"/>
      <w:divBdr>
        <w:top w:val="none" w:sz="0" w:space="0" w:color="auto"/>
        <w:left w:val="none" w:sz="0" w:space="0" w:color="auto"/>
        <w:bottom w:val="none" w:sz="0" w:space="0" w:color="auto"/>
        <w:right w:val="none" w:sz="0" w:space="0" w:color="auto"/>
      </w:divBdr>
    </w:div>
    <w:div w:id="805395866">
      <w:bodyDiv w:val="1"/>
      <w:marLeft w:val="0"/>
      <w:marRight w:val="0"/>
      <w:marTop w:val="0"/>
      <w:marBottom w:val="0"/>
      <w:divBdr>
        <w:top w:val="none" w:sz="0" w:space="0" w:color="auto"/>
        <w:left w:val="none" w:sz="0" w:space="0" w:color="auto"/>
        <w:bottom w:val="none" w:sz="0" w:space="0" w:color="auto"/>
        <w:right w:val="none" w:sz="0" w:space="0" w:color="auto"/>
      </w:divBdr>
    </w:div>
    <w:div w:id="855575928">
      <w:bodyDiv w:val="1"/>
      <w:marLeft w:val="0"/>
      <w:marRight w:val="0"/>
      <w:marTop w:val="0"/>
      <w:marBottom w:val="0"/>
      <w:divBdr>
        <w:top w:val="none" w:sz="0" w:space="0" w:color="auto"/>
        <w:left w:val="none" w:sz="0" w:space="0" w:color="auto"/>
        <w:bottom w:val="none" w:sz="0" w:space="0" w:color="auto"/>
        <w:right w:val="none" w:sz="0" w:space="0" w:color="auto"/>
      </w:divBdr>
    </w:div>
    <w:div w:id="856384112">
      <w:bodyDiv w:val="1"/>
      <w:marLeft w:val="0"/>
      <w:marRight w:val="0"/>
      <w:marTop w:val="0"/>
      <w:marBottom w:val="0"/>
      <w:divBdr>
        <w:top w:val="none" w:sz="0" w:space="0" w:color="auto"/>
        <w:left w:val="none" w:sz="0" w:space="0" w:color="auto"/>
        <w:bottom w:val="none" w:sz="0" w:space="0" w:color="auto"/>
        <w:right w:val="none" w:sz="0" w:space="0" w:color="auto"/>
      </w:divBdr>
    </w:div>
    <w:div w:id="866020846">
      <w:bodyDiv w:val="1"/>
      <w:marLeft w:val="0"/>
      <w:marRight w:val="0"/>
      <w:marTop w:val="0"/>
      <w:marBottom w:val="0"/>
      <w:divBdr>
        <w:top w:val="none" w:sz="0" w:space="0" w:color="auto"/>
        <w:left w:val="none" w:sz="0" w:space="0" w:color="auto"/>
        <w:bottom w:val="none" w:sz="0" w:space="0" w:color="auto"/>
        <w:right w:val="none" w:sz="0" w:space="0" w:color="auto"/>
      </w:divBdr>
    </w:div>
    <w:div w:id="950942675">
      <w:bodyDiv w:val="1"/>
      <w:marLeft w:val="0"/>
      <w:marRight w:val="0"/>
      <w:marTop w:val="0"/>
      <w:marBottom w:val="0"/>
      <w:divBdr>
        <w:top w:val="none" w:sz="0" w:space="0" w:color="auto"/>
        <w:left w:val="none" w:sz="0" w:space="0" w:color="auto"/>
        <w:bottom w:val="none" w:sz="0" w:space="0" w:color="auto"/>
        <w:right w:val="none" w:sz="0" w:space="0" w:color="auto"/>
      </w:divBdr>
    </w:div>
    <w:div w:id="955064935">
      <w:bodyDiv w:val="1"/>
      <w:marLeft w:val="0"/>
      <w:marRight w:val="0"/>
      <w:marTop w:val="0"/>
      <w:marBottom w:val="0"/>
      <w:divBdr>
        <w:top w:val="none" w:sz="0" w:space="0" w:color="auto"/>
        <w:left w:val="none" w:sz="0" w:space="0" w:color="auto"/>
        <w:bottom w:val="none" w:sz="0" w:space="0" w:color="auto"/>
        <w:right w:val="none" w:sz="0" w:space="0" w:color="auto"/>
      </w:divBdr>
    </w:div>
    <w:div w:id="967928557">
      <w:bodyDiv w:val="1"/>
      <w:marLeft w:val="0"/>
      <w:marRight w:val="0"/>
      <w:marTop w:val="0"/>
      <w:marBottom w:val="0"/>
      <w:divBdr>
        <w:top w:val="none" w:sz="0" w:space="0" w:color="auto"/>
        <w:left w:val="none" w:sz="0" w:space="0" w:color="auto"/>
        <w:bottom w:val="none" w:sz="0" w:space="0" w:color="auto"/>
        <w:right w:val="none" w:sz="0" w:space="0" w:color="auto"/>
      </w:divBdr>
    </w:div>
    <w:div w:id="1003826543">
      <w:bodyDiv w:val="1"/>
      <w:marLeft w:val="0"/>
      <w:marRight w:val="0"/>
      <w:marTop w:val="0"/>
      <w:marBottom w:val="0"/>
      <w:divBdr>
        <w:top w:val="none" w:sz="0" w:space="0" w:color="auto"/>
        <w:left w:val="none" w:sz="0" w:space="0" w:color="auto"/>
        <w:bottom w:val="none" w:sz="0" w:space="0" w:color="auto"/>
        <w:right w:val="none" w:sz="0" w:space="0" w:color="auto"/>
      </w:divBdr>
    </w:div>
    <w:div w:id="1021467773">
      <w:bodyDiv w:val="1"/>
      <w:marLeft w:val="0"/>
      <w:marRight w:val="0"/>
      <w:marTop w:val="0"/>
      <w:marBottom w:val="0"/>
      <w:divBdr>
        <w:top w:val="none" w:sz="0" w:space="0" w:color="auto"/>
        <w:left w:val="none" w:sz="0" w:space="0" w:color="auto"/>
        <w:bottom w:val="none" w:sz="0" w:space="0" w:color="auto"/>
        <w:right w:val="none" w:sz="0" w:space="0" w:color="auto"/>
      </w:divBdr>
    </w:div>
    <w:div w:id="1036393992">
      <w:bodyDiv w:val="1"/>
      <w:marLeft w:val="0"/>
      <w:marRight w:val="0"/>
      <w:marTop w:val="0"/>
      <w:marBottom w:val="0"/>
      <w:divBdr>
        <w:top w:val="none" w:sz="0" w:space="0" w:color="auto"/>
        <w:left w:val="none" w:sz="0" w:space="0" w:color="auto"/>
        <w:bottom w:val="none" w:sz="0" w:space="0" w:color="auto"/>
        <w:right w:val="none" w:sz="0" w:space="0" w:color="auto"/>
      </w:divBdr>
    </w:div>
    <w:div w:id="1067654355">
      <w:bodyDiv w:val="1"/>
      <w:marLeft w:val="0"/>
      <w:marRight w:val="0"/>
      <w:marTop w:val="0"/>
      <w:marBottom w:val="0"/>
      <w:divBdr>
        <w:top w:val="none" w:sz="0" w:space="0" w:color="auto"/>
        <w:left w:val="none" w:sz="0" w:space="0" w:color="auto"/>
        <w:bottom w:val="none" w:sz="0" w:space="0" w:color="auto"/>
        <w:right w:val="none" w:sz="0" w:space="0" w:color="auto"/>
      </w:divBdr>
    </w:div>
    <w:div w:id="1081104481">
      <w:bodyDiv w:val="1"/>
      <w:marLeft w:val="0"/>
      <w:marRight w:val="0"/>
      <w:marTop w:val="0"/>
      <w:marBottom w:val="0"/>
      <w:divBdr>
        <w:top w:val="none" w:sz="0" w:space="0" w:color="auto"/>
        <w:left w:val="none" w:sz="0" w:space="0" w:color="auto"/>
        <w:bottom w:val="none" w:sz="0" w:space="0" w:color="auto"/>
        <w:right w:val="none" w:sz="0" w:space="0" w:color="auto"/>
      </w:divBdr>
    </w:div>
    <w:div w:id="1123117638">
      <w:bodyDiv w:val="1"/>
      <w:marLeft w:val="0"/>
      <w:marRight w:val="0"/>
      <w:marTop w:val="0"/>
      <w:marBottom w:val="0"/>
      <w:divBdr>
        <w:top w:val="none" w:sz="0" w:space="0" w:color="auto"/>
        <w:left w:val="none" w:sz="0" w:space="0" w:color="auto"/>
        <w:bottom w:val="none" w:sz="0" w:space="0" w:color="auto"/>
        <w:right w:val="none" w:sz="0" w:space="0" w:color="auto"/>
      </w:divBdr>
    </w:div>
    <w:div w:id="1144658054">
      <w:bodyDiv w:val="1"/>
      <w:marLeft w:val="0"/>
      <w:marRight w:val="0"/>
      <w:marTop w:val="0"/>
      <w:marBottom w:val="0"/>
      <w:divBdr>
        <w:top w:val="none" w:sz="0" w:space="0" w:color="auto"/>
        <w:left w:val="none" w:sz="0" w:space="0" w:color="auto"/>
        <w:bottom w:val="none" w:sz="0" w:space="0" w:color="auto"/>
        <w:right w:val="none" w:sz="0" w:space="0" w:color="auto"/>
      </w:divBdr>
    </w:div>
    <w:div w:id="1213730058">
      <w:bodyDiv w:val="1"/>
      <w:marLeft w:val="0"/>
      <w:marRight w:val="0"/>
      <w:marTop w:val="0"/>
      <w:marBottom w:val="0"/>
      <w:divBdr>
        <w:top w:val="none" w:sz="0" w:space="0" w:color="auto"/>
        <w:left w:val="none" w:sz="0" w:space="0" w:color="auto"/>
        <w:bottom w:val="none" w:sz="0" w:space="0" w:color="auto"/>
        <w:right w:val="none" w:sz="0" w:space="0" w:color="auto"/>
      </w:divBdr>
    </w:div>
    <w:div w:id="1220626963">
      <w:bodyDiv w:val="1"/>
      <w:marLeft w:val="0"/>
      <w:marRight w:val="0"/>
      <w:marTop w:val="0"/>
      <w:marBottom w:val="0"/>
      <w:divBdr>
        <w:top w:val="none" w:sz="0" w:space="0" w:color="auto"/>
        <w:left w:val="none" w:sz="0" w:space="0" w:color="auto"/>
        <w:bottom w:val="none" w:sz="0" w:space="0" w:color="auto"/>
        <w:right w:val="none" w:sz="0" w:space="0" w:color="auto"/>
      </w:divBdr>
    </w:div>
    <w:div w:id="1239051495">
      <w:bodyDiv w:val="1"/>
      <w:marLeft w:val="0"/>
      <w:marRight w:val="0"/>
      <w:marTop w:val="0"/>
      <w:marBottom w:val="0"/>
      <w:divBdr>
        <w:top w:val="none" w:sz="0" w:space="0" w:color="auto"/>
        <w:left w:val="none" w:sz="0" w:space="0" w:color="auto"/>
        <w:bottom w:val="none" w:sz="0" w:space="0" w:color="auto"/>
        <w:right w:val="none" w:sz="0" w:space="0" w:color="auto"/>
      </w:divBdr>
    </w:div>
    <w:div w:id="1297833065">
      <w:bodyDiv w:val="1"/>
      <w:marLeft w:val="0"/>
      <w:marRight w:val="0"/>
      <w:marTop w:val="0"/>
      <w:marBottom w:val="0"/>
      <w:divBdr>
        <w:top w:val="none" w:sz="0" w:space="0" w:color="auto"/>
        <w:left w:val="none" w:sz="0" w:space="0" w:color="auto"/>
        <w:bottom w:val="none" w:sz="0" w:space="0" w:color="auto"/>
        <w:right w:val="none" w:sz="0" w:space="0" w:color="auto"/>
      </w:divBdr>
    </w:div>
    <w:div w:id="1302345213">
      <w:bodyDiv w:val="1"/>
      <w:marLeft w:val="0"/>
      <w:marRight w:val="0"/>
      <w:marTop w:val="0"/>
      <w:marBottom w:val="0"/>
      <w:divBdr>
        <w:top w:val="none" w:sz="0" w:space="0" w:color="auto"/>
        <w:left w:val="none" w:sz="0" w:space="0" w:color="auto"/>
        <w:bottom w:val="none" w:sz="0" w:space="0" w:color="auto"/>
        <w:right w:val="none" w:sz="0" w:space="0" w:color="auto"/>
      </w:divBdr>
    </w:div>
    <w:div w:id="1314989197">
      <w:bodyDiv w:val="1"/>
      <w:marLeft w:val="0"/>
      <w:marRight w:val="0"/>
      <w:marTop w:val="0"/>
      <w:marBottom w:val="0"/>
      <w:divBdr>
        <w:top w:val="none" w:sz="0" w:space="0" w:color="auto"/>
        <w:left w:val="none" w:sz="0" w:space="0" w:color="auto"/>
        <w:bottom w:val="none" w:sz="0" w:space="0" w:color="auto"/>
        <w:right w:val="none" w:sz="0" w:space="0" w:color="auto"/>
      </w:divBdr>
    </w:div>
    <w:div w:id="1334644422">
      <w:bodyDiv w:val="1"/>
      <w:marLeft w:val="0"/>
      <w:marRight w:val="0"/>
      <w:marTop w:val="0"/>
      <w:marBottom w:val="0"/>
      <w:divBdr>
        <w:top w:val="none" w:sz="0" w:space="0" w:color="auto"/>
        <w:left w:val="none" w:sz="0" w:space="0" w:color="auto"/>
        <w:bottom w:val="none" w:sz="0" w:space="0" w:color="auto"/>
        <w:right w:val="none" w:sz="0" w:space="0" w:color="auto"/>
      </w:divBdr>
    </w:div>
    <w:div w:id="1336299699">
      <w:bodyDiv w:val="1"/>
      <w:marLeft w:val="0"/>
      <w:marRight w:val="0"/>
      <w:marTop w:val="0"/>
      <w:marBottom w:val="0"/>
      <w:divBdr>
        <w:top w:val="none" w:sz="0" w:space="0" w:color="auto"/>
        <w:left w:val="none" w:sz="0" w:space="0" w:color="auto"/>
        <w:bottom w:val="none" w:sz="0" w:space="0" w:color="auto"/>
        <w:right w:val="none" w:sz="0" w:space="0" w:color="auto"/>
      </w:divBdr>
    </w:div>
    <w:div w:id="1343554088">
      <w:bodyDiv w:val="1"/>
      <w:marLeft w:val="0"/>
      <w:marRight w:val="0"/>
      <w:marTop w:val="0"/>
      <w:marBottom w:val="0"/>
      <w:divBdr>
        <w:top w:val="none" w:sz="0" w:space="0" w:color="auto"/>
        <w:left w:val="none" w:sz="0" w:space="0" w:color="auto"/>
        <w:bottom w:val="none" w:sz="0" w:space="0" w:color="auto"/>
        <w:right w:val="none" w:sz="0" w:space="0" w:color="auto"/>
      </w:divBdr>
    </w:div>
    <w:div w:id="1373309263">
      <w:bodyDiv w:val="1"/>
      <w:marLeft w:val="0"/>
      <w:marRight w:val="0"/>
      <w:marTop w:val="0"/>
      <w:marBottom w:val="0"/>
      <w:divBdr>
        <w:top w:val="none" w:sz="0" w:space="0" w:color="auto"/>
        <w:left w:val="none" w:sz="0" w:space="0" w:color="auto"/>
        <w:bottom w:val="none" w:sz="0" w:space="0" w:color="auto"/>
        <w:right w:val="none" w:sz="0" w:space="0" w:color="auto"/>
      </w:divBdr>
    </w:div>
    <w:div w:id="1401519029">
      <w:bodyDiv w:val="1"/>
      <w:marLeft w:val="0"/>
      <w:marRight w:val="0"/>
      <w:marTop w:val="0"/>
      <w:marBottom w:val="0"/>
      <w:divBdr>
        <w:top w:val="none" w:sz="0" w:space="0" w:color="auto"/>
        <w:left w:val="none" w:sz="0" w:space="0" w:color="auto"/>
        <w:bottom w:val="none" w:sz="0" w:space="0" w:color="auto"/>
        <w:right w:val="none" w:sz="0" w:space="0" w:color="auto"/>
      </w:divBdr>
    </w:div>
    <w:div w:id="1404722845">
      <w:bodyDiv w:val="1"/>
      <w:marLeft w:val="0"/>
      <w:marRight w:val="0"/>
      <w:marTop w:val="0"/>
      <w:marBottom w:val="0"/>
      <w:divBdr>
        <w:top w:val="none" w:sz="0" w:space="0" w:color="auto"/>
        <w:left w:val="none" w:sz="0" w:space="0" w:color="auto"/>
        <w:bottom w:val="none" w:sz="0" w:space="0" w:color="auto"/>
        <w:right w:val="none" w:sz="0" w:space="0" w:color="auto"/>
      </w:divBdr>
    </w:div>
    <w:div w:id="1415514247">
      <w:bodyDiv w:val="1"/>
      <w:marLeft w:val="0"/>
      <w:marRight w:val="0"/>
      <w:marTop w:val="0"/>
      <w:marBottom w:val="0"/>
      <w:divBdr>
        <w:top w:val="none" w:sz="0" w:space="0" w:color="auto"/>
        <w:left w:val="none" w:sz="0" w:space="0" w:color="auto"/>
        <w:bottom w:val="none" w:sz="0" w:space="0" w:color="auto"/>
        <w:right w:val="none" w:sz="0" w:space="0" w:color="auto"/>
      </w:divBdr>
    </w:div>
    <w:div w:id="1417362181">
      <w:bodyDiv w:val="1"/>
      <w:marLeft w:val="0"/>
      <w:marRight w:val="0"/>
      <w:marTop w:val="0"/>
      <w:marBottom w:val="0"/>
      <w:divBdr>
        <w:top w:val="none" w:sz="0" w:space="0" w:color="auto"/>
        <w:left w:val="none" w:sz="0" w:space="0" w:color="auto"/>
        <w:bottom w:val="none" w:sz="0" w:space="0" w:color="auto"/>
        <w:right w:val="none" w:sz="0" w:space="0" w:color="auto"/>
      </w:divBdr>
    </w:div>
    <w:div w:id="1422143617">
      <w:bodyDiv w:val="1"/>
      <w:marLeft w:val="0"/>
      <w:marRight w:val="0"/>
      <w:marTop w:val="0"/>
      <w:marBottom w:val="0"/>
      <w:divBdr>
        <w:top w:val="none" w:sz="0" w:space="0" w:color="auto"/>
        <w:left w:val="none" w:sz="0" w:space="0" w:color="auto"/>
        <w:bottom w:val="none" w:sz="0" w:space="0" w:color="auto"/>
        <w:right w:val="none" w:sz="0" w:space="0" w:color="auto"/>
      </w:divBdr>
    </w:div>
    <w:div w:id="1464470118">
      <w:bodyDiv w:val="1"/>
      <w:marLeft w:val="0"/>
      <w:marRight w:val="0"/>
      <w:marTop w:val="0"/>
      <w:marBottom w:val="0"/>
      <w:divBdr>
        <w:top w:val="none" w:sz="0" w:space="0" w:color="auto"/>
        <w:left w:val="none" w:sz="0" w:space="0" w:color="auto"/>
        <w:bottom w:val="none" w:sz="0" w:space="0" w:color="auto"/>
        <w:right w:val="none" w:sz="0" w:space="0" w:color="auto"/>
      </w:divBdr>
    </w:div>
    <w:div w:id="1488322712">
      <w:bodyDiv w:val="1"/>
      <w:marLeft w:val="0"/>
      <w:marRight w:val="0"/>
      <w:marTop w:val="0"/>
      <w:marBottom w:val="0"/>
      <w:divBdr>
        <w:top w:val="none" w:sz="0" w:space="0" w:color="auto"/>
        <w:left w:val="none" w:sz="0" w:space="0" w:color="auto"/>
        <w:bottom w:val="none" w:sz="0" w:space="0" w:color="auto"/>
        <w:right w:val="none" w:sz="0" w:space="0" w:color="auto"/>
      </w:divBdr>
    </w:div>
    <w:div w:id="1496067017">
      <w:bodyDiv w:val="1"/>
      <w:marLeft w:val="0"/>
      <w:marRight w:val="0"/>
      <w:marTop w:val="0"/>
      <w:marBottom w:val="0"/>
      <w:divBdr>
        <w:top w:val="none" w:sz="0" w:space="0" w:color="auto"/>
        <w:left w:val="none" w:sz="0" w:space="0" w:color="auto"/>
        <w:bottom w:val="none" w:sz="0" w:space="0" w:color="auto"/>
        <w:right w:val="none" w:sz="0" w:space="0" w:color="auto"/>
      </w:divBdr>
    </w:div>
    <w:div w:id="1500267337">
      <w:bodyDiv w:val="1"/>
      <w:marLeft w:val="0"/>
      <w:marRight w:val="0"/>
      <w:marTop w:val="0"/>
      <w:marBottom w:val="0"/>
      <w:divBdr>
        <w:top w:val="none" w:sz="0" w:space="0" w:color="auto"/>
        <w:left w:val="none" w:sz="0" w:space="0" w:color="auto"/>
        <w:bottom w:val="none" w:sz="0" w:space="0" w:color="auto"/>
        <w:right w:val="none" w:sz="0" w:space="0" w:color="auto"/>
      </w:divBdr>
    </w:div>
    <w:div w:id="1531258796">
      <w:bodyDiv w:val="1"/>
      <w:marLeft w:val="0"/>
      <w:marRight w:val="0"/>
      <w:marTop w:val="0"/>
      <w:marBottom w:val="0"/>
      <w:divBdr>
        <w:top w:val="none" w:sz="0" w:space="0" w:color="auto"/>
        <w:left w:val="none" w:sz="0" w:space="0" w:color="auto"/>
        <w:bottom w:val="none" w:sz="0" w:space="0" w:color="auto"/>
        <w:right w:val="none" w:sz="0" w:space="0" w:color="auto"/>
      </w:divBdr>
    </w:div>
    <w:div w:id="1540580457">
      <w:bodyDiv w:val="1"/>
      <w:marLeft w:val="0"/>
      <w:marRight w:val="0"/>
      <w:marTop w:val="0"/>
      <w:marBottom w:val="0"/>
      <w:divBdr>
        <w:top w:val="none" w:sz="0" w:space="0" w:color="auto"/>
        <w:left w:val="none" w:sz="0" w:space="0" w:color="auto"/>
        <w:bottom w:val="none" w:sz="0" w:space="0" w:color="auto"/>
        <w:right w:val="none" w:sz="0" w:space="0" w:color="auto"/>
      </w:divBdr>
    </w:div>
    <w:div w:id="1559171231">
      <w:bodyDiv w:val="1"/>
      <w:marLeft w:val="0"/>
      <w:marRight w:val="0"/>
      <w:marTop w:val="0"/>
      <w:marBottom w:val="0"/>
      <w:divBdr>
        <w:top w:val="none" w:sz="0" w:space="0" w:color="auto"/>
        <w:left w:val="none" w:sz="0" w:space="0" w:color="auto"/>
        <w:bottom w:val="none" w:sz="0" w:space="0" w:color="auto"/>
        <w:right w:val="none" w:sz="0" w:space="0" w:color="auto"/>
      </w:divBdr>
    </w:div>
    <w:div w:id="1570727045">
      <w:bodyDiv w:val="1"/>
      <w:marLeft w:val="0"/>
      <w:marRight w:val="0"/>
      <w:marTop w:val="0"/>
      <w:marBottom w:val="0"/>
      <w:divBdr>
        <w:top w:val="none" w:sz="0" w:space="0" w:color="auto"/>
        <w:left w:val="none" w:sz="0" w:space="0" w:color="auto"/>
        <w:bottom w:val="none" w:sz="0" w:space="0" w:color="auto"/>
        <w:right w:val="none" w:sz="0" w:space="0" w:color="auto"/>
      </w:divBdr>
    </w:div>
    <w:div w:id="1583248507">
      <w:bodyDiv w:val="1"/>
      <w:marLeft w:val="0"/>
      <w:marRight w:val="0"/>
      <w:marTop w:val="0"/>
      <w:marBottom w:val="0"/>
      <w:divBdr>
        <w:top w:val="none" w:sz="0" w:space="0" w:color="auto"/>
        <w:left w:val="none" w:sz="0" w:space="0" w:color="auto"/>
        <w:bottom w:val="none" w:sz="0" w:space="0" w:color="auto"/>
        <w:right w:val="none" w:sz="0" w:space="0" w:color="auto"/>
      </w:divBdr>
    </w:div>
    <w:div w:id="1627002653">
      <w:bodyDiv w:val="1"/>
      <w:marLeft w:val="0"/>
      <w:marRight w:val="0"/>
      <w:marTop w:val="0"/>
      <w:marBottom w:val="0"/>
      <w:divBdr>
        <w:top w:val="none" w:sz="0" w:space="0" w:color="auto"/>
        <w:left w:val="none" w:sz="0" w:space="0" w:color="auto"/>
        <w:bottom w:val="none" w:sz="0" w:space="0" w:color="auto"/>
        <w:right w:val="none" w:sz="0" w:space="0" w:color="auto"/>
      </w:divBdr>
    </w:div>
    <w:div w:id="1662542170">
      <w:bodyDiv w:val="1"/>
      <w:marLeft w:val="0"/>
      <w:marRight w:val="0"/>
      <w:marTop w:val="0"/>
      <w:marBottom w:val="0"/>
      <w:divBdr>
        <w:top w:val="none" w:sz="0" w:space="0" w:color="auto"/>
        <w:left w:val="none" w:sz="0" w:space="0" w:color="auto"/>
        <w:bottom w:val="none" w:sz="0" w:space="0" w:color="auto"/>
        <w:right w:val="none" w:sz="0" w:space="0" w:color="auto"/>
      </w:divBdr>
    </w:div>
    <w:div w:id="1684674035">
      <w:bodyDiv w:val="1"/>
      <w:marLeft w:val="0"/>
      <w:marRight w:val="0"/>
      <w:marTop w:val="0"/>
      <w:marBottom w:val="0"/>
      <w:divBdr>
        <w:top w:val="none" w:sz="0" w:space="0" w:color="auto"/>
        <w:left w:val="none" w:sz="0" w:space="0" w:color="auto"/>
        <w:bottom w:val="none" w:sz="0" w:space="0" w:color="auto"/>
        <w:right w:val="none" w:sz="0" w:space="0" w:color="auto"/>
      </w:divBdr>
    </w:div>
    <w:div w:id="1715538046">
      <w:bodyDiv w:val="1"/>
      <w:marLeft w:val="0"/>
      <w:marRight w:val="0"/>
      <w:marTop w:val="0"/>
      <w:marBottom w:val="0"/>
      <w:divBdr>
        <w:top w:val="none" w:sz="0" w:space="0" w:color="auto"/>
        <w:left w:val="none" w:sz="0" w:space="0" w:color="auto"/>
        <w:bottom w:val="none" w:sz="0" w:space="0" w:color="auto"/>
        <w:right w:val="none" w:sz="0" w:space="0" w:color="auto"/>
      </w:divBdr>
    </w:div>
    <w:div w:id="1787233430">
      <w:bodyDiv w:val="1"/>
      <w:marLeft w:val="0"/>
      <w:marRight w:val="0"/>
      <w:marTop w:val="0"/>
      <w:marBottom w:val="0"/>
      <w:divBdr>
        <w:top w:val="none" w:sz="0" w:space="0" w:color="auto"/>
        <w:left w:val="none" w:sz="0" w:space="0" w:color="auto"/>
        <w:bottom w:val="none" w:sz="0" w:space="0" w:color="auto"/>
        <w:right w:val="none" w:sz="0" w:space="0" w:color="auto"/>
      </w:divBdr>
    </w:div>
    <w:div w:id="1799644083">
      <w:bodyDiv w:val="1"/>
      <w:marLeft w:val="0"/>
      <w:marRight w:val="0"/>
      <w:marTop w:val="0"/>
      <w:marBottom w:val="0"/>
      <w:divBdr>
        <w:top w:val="none" w:sz="0" w:space="0" w:color="auto"/>
        <w:left w:val="none" w:sz="0" w:space="0" w:color="auto"/>
        <w:bottom w:val="none" w:sz="0" w:space="0" w:color="auto"/>
        <w:right w:val="none" w:sz="0" w:space="0" w:color="auto"/>
      </w:divBdr>
    </w:div>
    <w:div w:id="1812089405">
      <w:bodyDiv w:val="1"/>
      <w:marLeft w:val="0"/>
      <w:marRight w:val="0"/>
      <w:marTop w:val="0"/>
      <w:marBottom w:val="0"/>
      <w:divBdr>
        <w:top w:val="none" w:sz="0" w:space="0" w:color="auto"/>
        <w:left w:val="none" w:sz="0" w:space="0" w:color="auto"/>
        <w:bottom w:val="none" w:sz="0" w:space="0" w:color="auto"/>
        <w:right w:val="none" w:sz="0" w:space="0" w:color="auto"/>
      </w:divBdr>
    </w:div>
    <w:div w:id="1818108013">
      <w:bodyDiv w:val="1"/>
      <w:marLeft w:val="0"/>
      <w:marRight w:val="0"/>
      <w:marTop w:val="0"/>
      <w:marBottom w:val="0"/>
      <w:divBdr>
        <w:top w:val="none" w:sz="0" w:space="0" w:color="auto"/>
        <w:left w:val="none" w:sz="0" w:space="0" w:color="auto"/>
        <w:bottom w:val="none" w:sz="0" w:space="0" w:color="auto"/>
        <w:right w:val="none" w:sz="0" w:space="0" w:color="auto"/>
      </w:divBdr>
    </w:div>
    <w:div w:id="1865824885">
      <w:bodyDiv w:val="1"/>
      <w:marLeft w:val="0"/>
      <w:marRight w:val="0"/>
      <w:marTop w:val="0"/>
      <w:marBottom w:val="0"/>
      <w:divBdr>
        <w:top w:val="none" w:sz="0" w:space="0" w:color="auto"/>
        <w:left w:val="none" w:sz="0" w:space="0" w:color="auto"/>
        <w:bottom w:val="none" w:sz="0" w:space="0" w:color="auto"/>
        <w:right w:val="none" w:sz="0" w:space="0" w:color="auto"/>
      </w:divBdr>
    </w:div>
    <w:div w:id="1890653241">
      <w:bodyDiv w:val="1"/>
      <w:marLeft w:val="0"/>
      <w:marRight w:val="0"/>
      <w:marTop w:val="0"/>
      <w:marBottom w:val="0"/>
      <w:divBdr>
        <w:top w:val="none" w:sz="0" w:space="0" w:color="auto"/>
        <w:left w:val="none" w:sz="0" w:space="0" w:color="auto"/>
        <w:bottom w:val="none" w:sz="0" w:space="0" w:color="auto"/>
        <w:right w:val="none" w:sz="0" w:space="0" w:color="auto"/>
      </w:divBdr>
    </w:div>
    <w:div w:id="1915507412">
      <w:bodyDiv w:val="1"/>
      <w:marLeft w:val="0"/>
      <w:marRight w:val="0"/>
      <w:marTop w:val="0"/>
      <w:marBottom w:val="0"/>
      <w:divBdr>
        <w:top w:val="none" w:sz="0" w:space="0" w:color="auto"/>
        <w:left w:val="none" w:sz="0" w:space="0" w:color="auto"/>
        <w:bottom w:val="none" w:sz="0" w:space="0" w:color="auto"/>
        <w:right w:val="none" w:sz="0" w:space="0" w:color="auto"/>
      </w:divBdr>
    </w:div>
    <w:div w:id="1921326064">
      <w:bodyDiv w:val="1"/>
      <w:marLeft w:val="0"/>
      <w:marRight w:val="0"/>
      <w:marTop w:val="0"/>
      <w:marBottom w:val="0"/>
      <w:divBdr>
        <w:top w:val="none" w:sz="0" w:space="0" w:color="auto"/>
        <w:left w:val="none" w:sz="0" w:space="0" w:color="auto"/>
        <w:bottom w:val="none" w:sz="0" w:space="0" w:color="auto"/>
        <w:right w:val="none" w:sz="0" w:space="0" w:color="auto"/>
      </w:divBdr>
    </w:div>
    <w:div w:id="1932348131">
      <w:bodyDiv w:val="1"/>
      <w:marLeft w:val="0"/>
      <w:marRight w:val="0"/>
      <w:marTop w:val="0"/>
      <w:marBottom w:val="0"/>
      <w:divBdr>
        <w:top w:val="none" w:sz="0" w:space="0" w:color="auto"/>
        <w:left w:val="none" w:sz="0" w:space="0" w:color="auto"/>
        <w:bottom w:val="none" w:sz="0" w:space="0" w:color="auto"/>
        <w:right w:val="none" w:sz="0" w:space="0" w:color="auto"/>
      </w:divBdr>
    </w:div>
    <w:div w:id="1947075305">
      <w:bodyDiv w:val="1"/>
      <w:marLeft w:val="0"/>
      <w:marRight w:val="0"/>
      <w:marTop w:val="0"/>
      <w:marBottom w:val="0"/>
      <w:divBdr>
        <w:top w:val="none" w:sz="0" w:space="0" w:color="auto"/>
        <w:left w:val="none" w:sz="0" w:space="0" w:color="auto"/>
        <w:bottom w:val="none" w:sz="0" w:space="0" w:color="auto"/>
        <w:right w:val="none" w:sz="0" w:space="0" w:color="auto"/>
      </w:divBdr>
    </w:div>
    <w:div w:id="1950695037">
      <w:bodyDiv w:val="1"/>
      <w:marLeft w:val="0"/>
      <w:marRight w:val="0"/>
      <w:marTop w:val="0"/>
      <w:marBottom w:val="0"/>
      <w:divBdr>
        <w:top w:val="none" w:sz="0" w:space="0" w:color="auto"/>
        <w:left w:val="none" w:sz="0" w:space="0" w:color="auto"/>
        <w:bottom w:val="none" w:sz="0" w:space="0" w:color="auto"/>
        <w:right w:val="none" w:sz="0" w:space="0" w:color="auto"/>
      </w:divBdr>
    </w:div>
    <w:div w:id="1991053919">
      <w:bodyDiv w:val="1"/>
      <w:marLeft w:val="0"/>
      <w:marRight w:val="0"/>
      <w:marTop w:val="0"/>
      <w:marBottom w:val="0"/>
      <w:divBdr>
        <w:top w:val="none" w:sz="0" w:space="0" w:color="auto"/>
        <w:left w:val="none" w:sz="0" w:space="0" w:color="auto"/>
        <w:bottom w:val="none" w:sz="0" w:space="0" w:color="auto"/>
        <w:right w:val="none" w:sz="0" w:space="0" w:color="auto"/>
      </w:divBdr>
    </w:div>
    <w:div w:id="2007786587">
      <w:bodyDiv w:val="1"/>
      <w:marLeft w:val="0"/>
      <w:marRight w:val="0"/>
      <w:marTop w:val="0"/>
      <w:marBottom w:val="0"/>
      <w:divBdr>
        <w:top w:val="none" w:sz="0" w:space="0" w:color="auto"/>
        <w:left w:val="none" w:sz="0" w:space="0" w:color="auto"/>
        <w:bottom w:val="none" w:sz="0" w:space="0" w:color="auto"/>
        <w:right w:val="none" w:sz="0" w:space="0" w:color="auto"/>
      </w:divBdr>
    </w:div>
    <w:div w:id="2019623762">
      <w:bodyDiv w:val="1"/>
      <w:marLeft w:val="0"/>
      <w:marRight w:val="0"/>
      <w:marTop w:val="0"/>
      <w:marBottom w:val="0"/>
      <w:divBdr>
        <w:top w:val="none" w:sz="0" w:space="0" w:color="auto"/>
        <w:left w:val="none" w:sz="0" w:space="0" w:color="auto"/>
        <w:bottom w:val="none" w:sz="0" w:space="0" w:color="auto"/>
        <w:right w:val="none" w:sz="0" w:space="0" w:color="auto"/>
      </w:divBdr>
    </w:div>
    <w:div w:id="2033411957">
      <w:bodyDiv w:val="1"/>
      <w:marLeft w:val="0"/>
      <w:marRight w:val="0"/>
      <w:marTop w:val="0"/>
      <w:marBottom w:val="0"/>
      <w:divBdr>
        <w:top w:val="none" w:sz="0" w:space="0" w:color="auto"/>
        <w:left w:val="none" w:sz="0" w:space="0" w:color="auto"/>
        <w:bottom w:val="none" w:sz="0" w:space="0" w:color="auto"/>
        <w:right w:val="none" w:sz="0" w:space="0" w:color="auto"/>
      </w:divBdr>
    </w:div>
    <w:div w:id="2036415959">
      <w:bodyDiv w:val="1"/>
      <w:marLeft w:val="0"/>
      <w:marRight w:val="0"/>
      <w:marTop w:val="0"/>
      <w:marBottom w:val="0"/>
      <w:divBdr>
        <w:top w:val="none" w:sz="0" w:space="0" w:color="auto"/>
        <w:left w:val="none" w:sz="0" w:space="0" w:color="auto"/>
        <w:bottom w:val="none" w:sz="0" w:space="0" w:color="auto"/>
        <w:right w:val="none" w:sz="0" w:space="0" w:color="auto"/>
      </w:divBdr>
    </w:div>
    <w:div w:id="2063480417">
      <w:bodyDiv w:val="1"/>
      <w:marLeft w:val="0"/>
      <w:marRight w:val="0"/>
      <w:marTop w:val="0"/>
      <w:marBottom w:val="0"/>
      <w:divBdr>
        <w:top w:val="none" w:sz="0" w:space="0" w:color="auto"/>
        <w:left w:val="none" w:sz="0" w:space="0" w:color="auto"/>
        <w:bottom w:val="none" w:sz="0" w:space="0" w:color="auto"/>
        <w:right w:val="none" w:sz="0" w:space="0" w:color="auto"/>
      </w:divBdr>
    </w:div>
    <w:div w:id="2100323004">
      <w:bodyDiv w:val="1"/>
      <w:marLeft w:val="0"/>
      <w:marRight w:val="0"/>
      <w:marTop w:val="0"/>
      <w:marBottom w:val="0"/>
      <w:divBdr>
        <w:top w:val="none" w:sz="0" w:space="0" w:color="auto"/>
        <w:left w:val="none" w:sz="0" w:space="0" w:color="auto"/>
        <w:bottom w:val="none" w:sz="0" w:space="0" w:color="auto"/>
        <w:right w:val="none" w:sz="0" w:space="0" w:color="auto"/>
      </w:divBdr>
    </w:div>
    <w:div w:id="2100439989">
      <w:bodyDiv w:val="1"/>
      <w:marLeft w:val="0"/>
      <w:marRight w:val="0"/>
      <w:marTop w:val="0"/>
      <w:marBottom w:val="0"/>
      <w:divBdr>
        <w:top w:val="none" w:sz="0" w:space="0" w:color="auto"/>
        <w:left w:val="none" w:sz="0" w:space="0" w:color="auto"/>
        <w:bottom w:val="none" w:sz="0" w:space="0" w:color="auto"/>
        <w:right w:val="none" w:sz="0" w:space="0" w:color="auto"/>
      </w:divBdr>
    </w:div>
    <w:div w:id="2146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file:///\\clbhprwmwfs01\vol2\DATA\FINANCE\PUBLIC\1%20Public\BUDGET\Budget%202017-18\February%20Cabinet\Final%20report\Final%20Report%20Appendices%20for%20Daksha\V4%20Final%20Budget%20Report%20070217.doc" TargetMode="External"/><Relationship Id="rId2" Type="http://schemas.openxmlformats.org/officeDocument/2006/relationships/numbering" Target="numbering.xml"/><Relationship Id="rId16" Type="http://schemas.openxmlformats.org/officeDocument/2006/relationships/hyperlink" Target="file:///\\clbhprwmwfs01\vol2\DATA\FINANCE\PUBLIC\1%20Public\BUDGET\Budget%202017-18\February%20Cabinet\Final%20report\Final%20Report%20Appendices%20for%20Daksha\V4%20Final%20Budget%20Report%20070217.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C7B81-7027-4457-8ACA-1AD0074A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7412</Words>
  <Characters>42253</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49566</CharactersWithSpaces>
  <SharedDoc>false</SharedDoc>
  <HLinks>
    <vt:vector size="12" baseType="variant">
      <vt:variant>
        <vt:i4>3997821</vt:i4>
      </vt:variant>
      <vt:variant>
        <vt:i4>3</vt:i4>
      </vt:variant>
      <vt:variant>
        <vt:i4>0</vt:i4>
      </vt:variant>
      <vt:variant>
        <vt:i4>5</vt:i4>
      </vt:variant>
      <vt:variant>
        <vt:lpwstr>http://moderngov:8080/ieListDocuments.aspx?CId=249&amp;MId=61076&amp;Ver=4</vt:lpwstr>
      </vt:variant>
      <vt:variant>
        <vt:lpwstr/>
      </vt:variant>
      <vt:variant>
        <vt:i4>3735673</vt:i4>
      </vt:variant>
      <vt:variant>
        <vt:i4>0</vt:i4>
      </vt:variant>
      <vt:variant>
        <vt:i4>0</vt:i4>
      </vt:variant>
      <vt:variant>
        <vt:i4>5</vt:i4>
      </vt:variant>
      <vt:variant>
        <vt:lpwstr>http://moderngov:8080/ieListDocuments.aspx?CId=249&amp;MId=61436&amp;Ver=4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Manize Talukdar</cp:lastModifiedBy>
  <cp:revision>2</cp:revision>
  <cp:lastPrinted>2018-06-08T14:33:00Z</cp:lastPrinted>
  <dcterms:created xsi:type="dcterms:W3CDTF">2018-07-12T11:59:00Z</dcterms:created>
  <dcterms:modified xsi:type="dcterms:W3CDTF">2018-07-12T11:59:00Z</dcterms:modified>
</cp:coreProperties>
</file>